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17E1" w:rsidR="00EE67E7" w:rsidP="0009773C" w:rsidRDefault="0009773C" w14:paraId="49D2146F" w14:textId="77777777">
      <w:pPr>
        <w:spacing w:line="360" w:lineRule="auto"/>
        <w:jc w:val="center"/>
        <w:rPr>
          <w:rFonts w:cstheme="minorHAnsi"/>
          <w:b/>
          <w:sz w:val="28"/>
          <w:szCs w:val="28"/>
          <w:u w:val="single"/>
        </w:rPr>
      </w:pPr>
      <w:bookmarkStart w:name="_GoBack" w:id="0"/>
      <w:bookmarkEnd w:id="0"/>
      <w:r w:rsidRPr="00E517E1">
        <w:rPr>
          <w:rFonts w:cstheme="minorHAnsi"/>
          <w:b/>
          <w:sz w:val="28"/>
          <w:szCs w:val="28"/>
          <w:u w:val="single"/>
        </w:rPr>
        <w:t>St George’s University of London: Turing Scheme</w:t>
      </w:r>
      <w:r w:rsidRPr="00E517E1" w:rsidR="00D064AF">
        <w:rPr>
          <w:rFonts w:cstheme="minorHAnsi"/>
          <w:b/>
          <w:sz w:val="28"/>
          <w:szCs w:val="28"/>
          <w:u w:val="single"/>
        </w:rPr>
        <w:t xml:space="preserve"> FAQ’s</w:t>
      </w:r>
    </w:p>
    <w:p w:rsidRPr="00E517E1" w:rsidR="0059203B" w:rsidP="00F00A70" w:rsidRDefault="003F0158" w14:paraId="1B66B860" w14:textId="77777777">
      <w:pPr>
        <w:pStyle w:val="ListParagraph"/>
        <w:numPr>
          <w:ilvl w:val="0"/>
          <w:numId w:val="6"/>
        </w:numPr>
        <w:spacing w:line="360" w:lineRule="auto"/>
        <w:rPr>
          <w:rFonts w:cstheme="minorHAnsi"/>
          <w:i/>
          <w:sz w:val="24"/>
          <w:szCs w:val="24"/>
        </w:rPr>
      </w:pPr>
      <w:r w:rsidRPr="00E517E1">
        <w:rPr>
          <w:rFonts w:cstheme="minorHAnsi"/>
          <w:i/>
          <w:sz w:val="24"/>
          <w:szCs w:val="24"/>
        </w:rPr>
        <w:t>What is the Turing Scheme</w:t>
      </w:r>
      <w:r w:rsidRPr="00E517E1" w:rsidR="0059203B">
        <w:rPr>
          <w:rFonts w:cstheme="minorHAnsi"/>
          <w:i/>
          <w:sz w:val="24"/>
          <w:szCs w:val="24"/>
        </w:rPr>
        <w:t>?</w:t>
      </w:r>
    </w:p>
    <w:p w:rsidRPr="00E517E1" w:rsidR="00320C63" w:rsidP="0059203B" w:rsidRDefault="007602B0" w14:paraId="4EBBEA61" w14:textId="77777777">
      <w:pPr>
        <w:spacing w:line="360" w:lineRule="auto"/>
        <w:rPr>
          <w:rFonts w:cstheme="minorHAnsi"/>
          <w:sz w:val="24"/>
          <w:szCs w:val="24"/>
        </w:rPr>
      </w:pPr>
      <w:r w:rsidRPr="00E517E1">
        <w:rPr>
          <w:rFonts w:cstheme="minorHAnsi"/>
          <w:sz w:val="24"/>
          <w:szCs w:val="24"/>
        </w:rPr>
        <w:t xml:space="preserve">The Turing scheme is the UK Government’s </w:t>
      </w:r>
      <w:r w:rsidRPr="00E517E1" w:rsidR="00040DD7">
        <w:rPr>
          <w:rFonts w:cstheme="minorHAnsi"/>
          <w:sz w:val="24"/>
          <w:szCs w:val="24"/>
        </w:rPr>
        <w:t>initiative which</w:t>
      </w:r>
      <w:r w:rsidRPr="00E517E1" w:rsidR="00320C63">
        <w:rPr>
          <w:rFonts w:cstheme="minorHAnsi"/>
          <w:sz w:val="24"/>
          <w:szCs w:val="24"/>
        </w:rPr>
        <w:t xml:space="preserve"> allows for worldwide student mobility. </w:t>
      </w:r>
      <w:r w:rsidRPr="00E517E1" w:rsidR="002223A6">
        <w:rPr>
          <w:rFonts w:cstheme="minorHAnsi"/>
          <w:sz w:val="24"/>
          <w:szCs w:val="24"/>
        </w:rPr>
        <w:t xml:space="preserve">The </w:t>
      </w:r>
      <w:r w:rsidRPr="00E517E1" w:rsidR="00320C63">
        <w:rPr>
          <w:rFonts w:cstheme="minorHAnsi"/>
          <w:sz w:val="24"/>
          <w:szCs w:val="24"/>
        </w:rPr>
        <w:t>scheme, named after British code breaker and mathematician, Alan</w:t>
      </w:r>
      <w:r w:rsidRPr="00E517E1" w:rsidR="00F00A70">
        <w:rPr>
          <w:rFonts w:cstheme="minorHAnsi"/>
          <w:sz w:val="24"/>
          <w:szCs w:val="24"/>
        </w:rPr>
        <w:t xml:space="preserve"> </w:t>
      </w:r>
      <w:r w:rsidRPr="00E517E1" w:rsidR="002223A6">
        <w:rPr>
          <w:rFonts w:cstheme="minorHAnsi"/>
          <w:sz w:val="24"/>
          <w:szCs w:val="24"/>
        </w:rPr>
        <w:t>Turing</w:t>
      </w:r>
      <w:r w:rsidRPr="00E517E1" w:rsidR="00320C63">
        <w:rPr>
          <w:rFonts w:cstheme="minorHAnsi"/>
          <w:sz w:val="24"/>
          <w:szCs w:val="24"/>
        </w:rPr>
        <w:t xml:space="preserve">, will provide £110 million in funding for approximately 35,000 students from schools, colleges and universities across the UK to go on placements abroad. </w:t>
      </w:r>
    </w:p>
    <w:p w:rsidRPr="00E517E1" w:rsidR="002223A6" w:rsidP="00F00A70" w:rsidRDefault="003D7864" w14:paraId="1A1B6B39" w14:textId="51DDC711">
      <w:pPr>
        <w:spacing w:line="360" w:lineRule="auto"/>
        <w:rPr>
          <w:rFonts w:cstheme="minorHAnsi"/>
          <w:sz w:val="24"/>
          <w:szCs w:val="24"/>
        </w:rPr>
      </w:pPr>
      <w:r w:rsidRPr="00E517E1">
        <w:rPr>
          <w:rFonts w:cstheme="minorHAnsi"/>
          <w:sz w:val="24"/>
          <w:szCs w:val="24"/>
        </w:rPr>
        <w:t xml:space="preserve">SGUL is committed to providing a wide range of student mobilities and we are pleased to confirm that our </w:t>
      </w:r>
      <w:r w:rsidRPr="00E517E1" w:rsidR="00E552FF">
        <w:rPr>
          <w:rFonts w:cstheme="minorHAnsi"/>
          <w:sz w:val="24"/>
          <w:szCs w:val="24"/>
        </w:rPr>
        <w:t xml:space="preserve">institutional </w:t>
      </w:r>
      <w:r w:rsidRPr="00E517E1">
        <w:rPr>
          <w:rFonts w:cstheme="minorHAnsi"/>
          <w:sz w:val="24"/>
          <w:szCs w:val="24"/>
        </w:rPr>
        <w:t xml:space="preserve">Turing grant application </w:t>
      </w:r>
      <w:r w:rsidRPr="00E517E1" w:rsidR="00E24AA6">
        <w:rPr>
          <w:rFonts w:cstheme="minorHAnsi"/>
          <w:sz w:val="24"/>
          <w:szCs w:val="24"/>
        </w:rPr>
        <w:t xml:space="preserve">to the amount of £62,000 </w:t>
      </w:r>
      <w:r w:rsidRPr="00E517E1">
        <w:rPr>
          <w:rFonts w:cstheme="minorHAnsi"/>
          <w:sz w:val="24"/>
          <w:szCs w:val="24"/>
        </w:rPr>
        <w:t>has been confirmed for academic year 2022-23</w:t>
      </w:r>
      <w:r w:rsidRPr="00E517E1" w:rsidR="00382D18">
        <w:rPr>
          <w:rFonts w:cstheme="minorHAnsi"/>
          <w:sz w:val="24"/>
          <w:szCs w:val="24"/>
        </w:rPr>
        <w:t xml:space="preserve">. </w:t>
      </w:r>
      <w:r w:rsidRPr="00E517E1" w:rsidR="007113DD">
        <w:rPr>
          <w:rFonts w:cstheme="minorHAnsi"/>
          <w:sz w:val="24"/>
          <w:szCs w:val="24"/>
        </w:rPr>
        <w:t xml:space="preserve">Please note that individual student funding is not guaranteed since </w:t>
      </w:r>
      <w:r w:rsidRPr="00E517E1" w:rsidR="00E552FF">
        <w:rPr>
          <w:rFonts w:cstheme="minorHAnsi"/>
          <w:sz w:val="24"/>
          <w:szCs w:val="24"/>
        </w:rPr>
        <w:t xml:space="preserve">there is a stipulated process to apply for Turing funding. The programme team and the Study Abroad team together manage the process of applying towards Turing funding for students who are keen to apply to the Turing scheme. </w:t>
      </w:r>
    </w:p>
    <w:p w:rsidRPr="00E517E1" w:rsidR="00A1216A" w:rsidP="00F00A70" w:rsidRDefault="00A1216A" w14:paraId="28ED3756" w14:textId="77777777">
      <w:pPr>
        <w:pStyle w:val="ListParagraph"/>
        <w:numPr>
          <w:ilvl w:val="0"/>
          <w:numId w:val="6"/>
        </w:numPr>
        <w:spacing w:line="360" w:lineRule="auto"/>
        <w:rPr>
          <w:rFonts w:cstheme="minorHAnsi"/>
          <w:i/>
          <w:sz w:val="24"/>
          <w:szCs w:val="24"/>
        </w:rPr>
      </w:pPr>
      <w:r w:rsidRPr="00E517E1">
        <w:rPr>
          <w:rFonts w:cstheme="minorHAnsi"/>
          <w:i/>
          <w:sz w:val="24"/>
          <w:szCs w:val="24"/>
        </w:rPr>
        <w:t xml:space="preserve">Who is eligible for Turing </w:t>
      </w:r>
      <w:r w:rsidRPr="00E517E1" w:rsidR="00271EDE">
        <w:rPr>
          <w:rFonts w:cstheme="minorHAnsi"/>
          <w:i/>
          <w:sz w:val="24"/>
          <w:szCs w:val="24"/>
        </w:rPr>
        <w:t>funding?</w:t>
      </w:r>
    </w:p>
    <w:p w:rsidRPr="00E517E1" w:rsidR="00E80C0D" w:rsidP="00E80C0D" w:rsidRDefault="00E24AA6" w14:paraId="7FF5CEBF" w14:textId="77777777">
      <w:pPr>
        <w:spacing w:line="360" w:lineRule="auto"/>
        <w:rPr>
          <w:rFonts w:cstheme="minorHAnsi"/>
          <w:sz w:val="24"/>
          <w:szCs w:val="24"/>
        </w:rPr>
      </w:pPr>
      <w:r w:rsidRPr="00E517E1">
        <w:rPr>
          <w:rFonts w:cstheme="minorHAnsi"/>
          <w:sz w:val="24"/>
          <w:szCs w:val="24"/>
        </w:rPr>
        <w:t>The Turing scheme is open to all SGUL students</w:t>
      </w:r>
      <w:r w:rsidRPr="00E517E1" w:rsidR="009C60B1">
        <w:rPr>
          <w:rFonts w:cstheme="minorHAnsi"/>
          <w:sz w:val="24"/>
          <w:szCs w:val="24"/>
        </w:rPr>
        <w:t xml:space="preserve">. </w:t>
      </w:r>
      <w:r w:rsidRPr="00E517E1" w:rsidR="00B55C37">
        <w:rPr>
          <w:rFonts w:cstheme="minorHAnsi"/>
          <w:sz w:val="24"/>
          <w:szCs w:val="24"/>
        </w:rPr>
        <w:t xml:space="preserve">Recent graduates who have completed their course in the last 12 months are eligible for Turing funding for work placements </w:t>
      </w:r>
      <w:r w:rsidRPr="00E517E1" w:rsidR="00F00A70">
        <w:rPr>
          <w:rFonts w:cstheme="minorHAnsi"/>
          <w:sz w:val="24"/>
          <w:szCs w:val="24"/>
        </w:rPr>
        <w:t>(but</w:t>
      </w:r>
      <w:r w:rsidRPr="00E517E1" w:rsidR="00B55C37">
        <w:rPr>
          <w:rFonts w:cstheme="minorHAnsi"/>
          <w:sz w:val="24"/>
          <w:szCs w:val="24"/>
        </w:rPr>
        <w:t xml:space="preserve"> not study placements). </w:t>
      </w:r>
    </w:p>
    <w:p w:rsidRPr="00E517E1" w:rsidR="003F0158" w:rsidP="00E80C0D" w:rsidRDefault="003F0158" w14:paraId="0D9B859F" w14:textId="0034BBD5">
      <w:pPr>
        <w:pStyle w:val="ListParagraph"/>
        <w:numPr>
          <w:ilvl w:val="0"/>
          <w:numId w:val="6"/>
        </w:numPr>
        <w:spacing w:line="360" w:lineRule="auto"/>
        <w:rPr>
          <w:rFonts w:cstheme="minorHAnsi"/>
          <w:i/>
          <w:sz w:val="24"/>
          <w:szCs w:val="24"/>
        </w:rPr>
      </w:pPr>
      <w:r w:rsidRPr="00E517E1">
        <w:rPr>
          <w:rFonts w:cstheme="minorHAnsi"/>
          <w:i/>
          <w:sz w:val="24"/>
          <w:szCs w:val="24"/>
        </w:rPr>
        <w:t xml:space="preserve">What </w:t>
      </w:r>
      <w:proofErr w:type="gramStart"/>
      <w:r w:rsidRPr="00E517E1">
        <w:rPr>
          <w:rFonts w:cstheme="minorHAnsi"/>
          <w:i/>
          <w:sz w:val="24"/>
          <w:szCs w:val="24"/>
        </w:rPr>
        <w:t>are</w:t>
      </w:r>
      <w:proofErr w:type="gramEnd"/>
      <w:r w:rsidRPr="00E517E1">
        <w:rPr>
          <w:rFonts w:cstheme="minorHAnsi"/>
          <w:i/>
          <w:sz w:val="24"/>
          <w:szCs w:val="24"/>
        </w:rPr>
        <w:t xml:space="preserve"> the funding amounts available</w:t>
      </w:r>
      <w:r w:rsidRPr="00E517E1" w:rsidR="000C455A">
        <w:rPr>
          <w:rFonts w:cstheme="minorHAnsi"/>
          <w:i/>
          <w:sz w:val="24"/>
          <w:szCs w:val="24"/>
        </w:rPr>
        <w:t xml:space="preserve"> and which countr</w:t>
      </w:r>
      <w:r w:rsidRPr="00E517E1" w:rsidR="00EE3B24">
        <w:rPr>
          <w:rFonts w:cstheme="minorHAnsi"/>
          <w:i/>
          <w:sz w:val="24"/>
          <w:szCs w:val="24"/>
        </w:rPr>
        <w:t xml:space="preserve">ies </w:t>
      </w:r>
      <w:r w:rsidRPr="00E517E1" w:rsidR="000C455A">
        <w:rPr>
          <w:rFonts w:cstheme="minorHAnsi"/>
          <w:i/>
          <w:sz w:val="24"/>
          <w:szCs w:val="24"/>
        </w:rPr>
        <w:t>can students go to</w:t>
      </w:r>
      <w:r w:rsidRPr="00E517E1" w:rsidR="00AD3DD1">
        <w:rPr>
          <w:rFonts w:cstheme="minorHAnsi"/>
          <w:i/>
          <w:sz w:val="24"/>
          <w:szCs w:val="24"/>
        </w:rPr>
        <w:t xml:space="preserve"> as part of their mobility? </w:t>
      </w:r>
    </w:p>
    <w:p w:rsidRPr="00E517E1" w:rsidR="000C455A" w:rsidP="00F00A70" w:rsidRDefault="000C455A" w14:paraId="2261DC49" w14:textId="2431C9A4">
      <w:pPr>
        <w:spacing w:line="360" w:lineRule="auto"/>
        <w:rPr>
          <w:rFonts w:cstheme="minorHAnsi"/>
          <w:sz w:val="24"/>
          <w:szCs w:val="24"/>
        </w:rPr>
      </w:pPr>
      <w:r w:rsidRPr="00E517E1">
        <w:rPr>
          <w:rFonts w:cstheme="minorHAnsi"/>
          <w:sz w:val="24"/>
          <w:szCs w:val="24"/>
        </w:rPr>
        <w:t>Turing funded mobility can take place in any country outside the UK as long as there is no F</w:t>
      </w:r>
      <w:r w:rsidRPr="00E517E1" w:rsidR="00E24AA6">
        <w:rPr>
          <w:rFonts w:cstheme="minorHAnsi"/>
          <w:sz w:val="24"/>
          <w:szCs w:val="24"/>
        </w:rPr>
        <w:t xml:space="preserve">oreign, Commonwealth and Development Office (FCDO) </w:t>
      </w:r>
      <w:r w:rsidRPr="00E517E1">
        <w:rPr>
          <w:rFonts w:cstheme="minorHAnsi"/>
          <w:sz w:val="24"/>
          <w:szCs w:val="24"/>
        </w:rPr>
        <w:t xml:space="preserve">advice against travel to that country. </w:t>
      </w:r>
      <w:r w:rsidRPr="00E517E1" w:rsidR="00E24AA6">
        <w:rPr>
          <w:rFonts w:cstheme="minorHAnsi"/>
          <w:sz w:val="24"/>
          <w:szCs w:val="24"/>
        </w:rPr>
        <w:t xml:space="preserve">Please refer to the latest travel advice here </w:t>
      </w:r>
      <w:hyperlink w:history="1" r:id="rId8">
        <w:r w:rsidRPr="00E517E1" w:rsidR="00E24AA6">
          <w:rPr>
            <w:rStyle w:val="Hyperlink"/>
            <w:rFonts w:cstheme="minorHAnsi"/>
            <w:sz w:val="24"/>
            <w:szCs w:val="24"/>
          </w:rPr>
          <w:t>Foreign travel advice - GOV.UK (www.gov.uk)</w:t>
        </w:r>
      </w:hyperlink>
      <w:r w:rsidRPr="00E517E1" w:rsidR="00E24AA6">
        <w:rPr>
          <w:rFonts w:cstheme="minorHAnsi"/>
          <w:sz w:val="24"/>
          <w:szCs w:val="24"/>
        </w:rPr>
        <w:t xml:space="preserve"> </w:t>
      </w:r>
    </w:p>
    <w:p w:rsidRPr="00E517E1" w:rsidR="003E5EAA" w:rsidP="00F00A70" w:rsidRDefault="003F0158" w14:paraId="1F4CA6DA" w14:textId="77777777">
      <w:pPr>
        <w:spacing w:line="360" w:lineRule="auto"/>
        <w:rPr>
          <w:rFonts w:cstheme="minorHAnsi"/>
          <w:sz w:val="24"/>
          <w:szCs w:val="24"/>
        </w:rPr>
      </w:pPr>
      <w:r w:rsidRPr="00E517E1">
        <w:rPr>
          <w:rFonts w:cstheme="minorHAnsi"/>
          <w:sz w:val="24"/>
          <w:szCs w:val="24"/>
        </w:rPr>
        <w:t xml:space="preserve">Turing funding amounts differs for countries which have been grouped depending on high, medium and low cost of living. </w:t>
      </w:r>
      <w:r w:rsidRPr="00E517E1" w:rsidR="003E5EAA">
        <w:rPr>
          <w:rFonts w:cstheme="minorHAnsi"/>
          <w:sz w:val="24"/>
          <w:szCs w:val="24"/>
        </w:rPr>
        <w:t xml:space="preserve">Cost of living groups (by country/ territory) can be found here </w:t>
      </w:r>
      <w:hyperlink w:history="1" r:id="rId9">
        <w:r w:rsidRPr="00E517E1" w:rsidR="003E5EAA">
          <w:rPr>
            <w:rStyle w:val="Hyperlink"/>
            <w:rFonts w:cstheme="minorHAnsi"/>
            <w:sz w:val="24"/>
            <w:szCs w:val="24"/>
          </w:rPr>
          <w:t>https://www.turing-scheme.org.uk/cost-of-living-groups/</w:t>
        </w:r>
      </w:hyperlink>
      <w:r w:rsidRPr="00E517E1" w:rsidR="003E5EAA">
        <w:rPr>
          <w:rFonts w:cstheme="minorHAnsi"/>
          <w:sz w:val="24"/>
          <w:szCs w:val="24"/>
        </w:rPr>
        <w:t xml:space="preserve"> </w:t>
      </w:r>
    </w:p>
    <w:p w:rsidRPr="00E517E1" w:rsidR="003F0158" w:rsidP="00F00A70" w:rsidRDefault="003E5EAA" w14:paraId="5AA9B3DD" w14:textId="42A2A9EC">
      <w:pPr>
        <w:spacing w:line="360" w:lineRule="auto"/>
        <w:rPr>
          <w:rFonts w:cstheme="minorHAnsi"/>
          <w:sz w:val="24"/>
          <w:szCs w:val="24"/>
        </w:rPr>
      </w:pPr>
      <w:r w:rsidRPr="00E517E1">
        <w:rPr>
          <w:rFonts w:cstheme="minorHAnsi"/>
          <w:sz w:val="24"/>
          <w:szCs w:val="24"/>
        </w:rPr>
        <w:t xml:space="preserve">The </w:t>
      </w:r>
      <w:r w:rsidRPr="00E517E1" w:rsidR="003F0158">
        <w:rPr>
          <w:rFonts w:cstheme="minorHAnsi"/>
          <w:sz w:val="24"/>
          <w:szCs w:val="24"/>
        </w:rPr>
        <w:t>amount of funding available according to mobility duration</w:t>
      </w:r>
      <w:r w:rsidRPr="00E517E1" w:rsidR="0016266E">
        <w:rPr>
          <w:rFonts w:cstheme="minorHAnsi"/>
          <w:sz w:val="24"/>
          <w:szCs w:val="24"/>
        </w:rPr>
        <w:t xml:space="preserve"> and cost of living groups,</w:t>
      </w:r>
      <w:r w:rsidRPr="00E517E1">
        <w:rPr>
          <w:rFonts w:cstheme="minorHAnsi"/>
          <w:sz w:val="24"/>
          <w:szCs w:val="24"/>
        </w:rPr>
        <w:t xml:space="preserve"> as below</w:t>
      </w:r>
      <w:r w:rsidRPr="00E517E1" w:rsidR="00CC7B5B">
        <w:rPr>
          <w:rFonts w:cstheme="minorHAnsi"/>
          <w:sz w:val="24"/>
          <w:szCs w:val="24"/>
        </w:rPr>
        <w:t xml:space="preserve">. Please note that placements lasting nine weeks to twelve months will receive the </w:t>
      </w:r>
      <w:r w:rsidRPr="00E517E1" w:rsidR="00CC7B5B">
        <w:rPr>
          <w:rFonts w:cstheme="minorHAnsi"/>
          <w:sz w:val="24"/>
          <w:szCs w:val="24"/>
        </w:rPr>
        <w:lastRenderedPageBreak/>
        <w:t>rates identified for this category for the full duration of the mobility and not the higher rates for the initial period of eight weeks.</w:t>
      </w:r>
    </w:p>
    <w:p w:rsidRPr="00E517E1" w:rsidR="00862A45" w:rsidP="00F00A70" w:rsidRDefault="00862A45" w14:paraId="755DAB2E" w14:textId="77777777">
      <w:pPr>
        <w:spacing w:line="360" w:lineRule="auto"/>
        <w:rPr>
          <w:rFonts w:cstheme="minorHAnsi"/>
          <w:sz w:val="24"/>
          <w:szCs w:val="24"/>
        </w:rPr>
      </w:pPr>
    </w:p>
    <w:tbl>
      <w:tblPr>
        <w:tblStyle w:val="TableGrid"/>
        <w:tblW w:w="0" w:type="auto"/>
        <w:tblLook w:val="04A0" w:firstRow="1" w:lastRow="0" w:firstColumn="1" w:lastColumn="0" w:noHBand="0" w:noVBand="1"/>
      </w:tblPr>
      <w:tblGrid>
        <w:gridCol w:w="3120"/>
        <w:gridCol w:w="2810"/>
        <w:gridCol w:w="3086"/>
      </w:tblGrid>
      <w:tr w:rsidRPr="00E517E1" w:rsidR="00E667EB" w:rsidTr="00E667EB" w14:paraId="71243E8A" w14:textId="77777777">
        <w:tc>
          <w:tcPr>
            <w:tcW w:w="3120" w:type="dxa"/>
          </w:tcPr>
          <w:p w:rsidRPr="00E517E1" w:rsidR="00E667EB" w:rsidP="00F00A70" w:rsidRDefault="00E667EB" w14:paraId="3B6607BE" w14:textId="77777777">
            <w:pPr>
              <w:spacing w:line="360" w:lineRule="auto"/>
              <w:rPr>
                <w:rFonts w:cstheme="minorHAnsi"/>
                <w:sz w:val="24"/>
                <w:szCs w:val="24"/>
              </w:rPr>
            </w:pPr>
            <w:r w:rsidRPr="00E517E1">
              <w:rPr>
                <w:rFonts w:cstheme="minorHAnsi"/>
                <w:sz w:val="24"/>
                <w:szCs w:val="24"/>
              </w:rPr>
              <w:t>Duration</w:t>
            </w:r>
          </w:p>
        </w:tc>
        <w:tc>
          <w:tcPr>
            <w:tcW w:w="2810" w:type="dxa"/>
          </w:tcPr>
          <w:p w:rsidRPr="00E517E1" w:rsidR="00E667EB" w:rsidP="00F00A70" w:rsidRDefault="00E667EB" w14:paraId="5443D16C" w14:textId="77777777">
            <w:pPr>
              <w:spacing w:line="360" w:lineRule="auto"/>
              <w:rPr>
                <w:rFonts w:cstheme="minorHAnsi"/>
                <w:sz w:val="24"/>
                <w:szCs w:val="24"/>
              </w:rPr>
            </w:pPr>
            <w:r w:rsidRPr="00E517E1">
              <w:rPr>
                <w:rFonts w:cstheme="minorHAnsi"/>
                <w:sz w:val="24"/>
                <w:szCs w:val="24"/>
              </w:rPr>
              <w:t>Destination</w:t>
            </w:r>
          </w:p>
        </w:tc>
        <w:tc>
          <w:tcPr>
            <w:tcW w:w="3086" w:type="dxa"/>
          </w:tcPr>
          <w:p w:rsidRPr="00E517E1" w:rsidR="00E667EB" w:rsidP="00F00A70" w:rsidRDefault="00E667EB" w14:paraId="48C60E6D" w14:textId="77777777">
            <w:pPr>
              <w:spacing w:line="360" w:lineRule="auto"/>
              <w:rPr>
                <w:rFonts w:cstheme="minorHAnsi"/>
                <w:sz w:val="24"/>
                <w:szCs w:val="24"/>
              </w:rPr>
            </w:pPr>
            <w:r w:rsidRPr="00E517E1">
              <w:rPr>
                <w:rFonts w:cstheme="minorHAnsi"/>
                <w:sz w:val="24"/>
                <w:szCs w:val="24"/>
              </w:rPr>
              <w:t>Weekly/ monthly amount</w:t>
            </w:r>
          </w:p>
        </w:tc>
      </w:tr>
      <w:tr w:rsidRPr="00E517E1" w:rsidR="00E667EB" w:rsidTr="00E667EB" w14:paraId="77A07CF7" w14:textId="77777777">
        <w:tc>
          <w:tcPr>
            <w:tcW w:w="3120" w:type="dxa"/>
          </w:tcPr>
          <w:p w:rsidRPr="00E517E1" w:rsidR="00E667EB" w:rsidP="00F00A70" w:rsidRDefault="00E667EB" w14:paraId="16803743" w14:textId="77777777">
            <w:pPr>
              <w:spacing w:line="360" w:lineRule="auto"/>
              <w:rPr>
                <w:rFonts w:cstheme="minorHAnsi"/>
                <w:sz w:val="24"/>
                <w:szCs w:val="24"/>
              </w:rPr>
            </w:pPr>
            <w:r w:rsidRPr="00E517E1">
              <w:rPr>
                <w:rFonts w:cstheme="minorHAnsi"/>
                <w:sz w:val="24"/>
                <w:szCs w:val="24"/>
              </w:rPr>
              <w:t>Four to eight weeks</w:t>
            </w:r>
          </w:p>
        </w:tc>
        <w:tc>
          <w:tcPr>
            <w:tcW w:w="2810" w:type="dxa"/>
          </w:tcPr>
          <w:p w:rsidRPr="00E517E1" w:rsidR="00E667EB" w:rsidP="00F00A70" w:rsidRDefault="00E667EB" w14:paraId="4FD4B405" w14:textId="77777777">
            <w:pPr>
              <w:spacing w:line="360" w:lineRule="auto"/>
              <w:rPr>
                <w:rFonts w:cstheme="minorHAnsi"/>
                <w:sz w:val="24"/>
                <w:szCs w:val="24"/>
              </w:rPr>
            </w:pPr>
            <w:r w:rsidRPr="00E517E1">
              <w:rPr>
                <w:rFonts w:cstheme="minorHAnsi"/>
                <w:sz w:val="24"/>
                <w:szCs w:val="24"/>
              </w:rPr>
              <w:t>Group 1</w:t>
            </w:r>
          </w:p>
        </w:tc>
        <w:tc>
          <w:tcPr>
            <w:tcW w:w="3086" w:type="dxa"/>
          </w:tcPr>
          <w:p w:rsidRPr="00E517E1" w:rsidR="00E667EB" w:rsidP="00F00A70" w:rsidRDefault="00E667EB" w14:paraId="2E0B03E0" w14:textId="77777777">
            <w:pPr>
              <w:spacing w:line="360" w:lineRule="auto"/>
              <w:rPr>
                <w:rFonts w:cstheme="minorHAnsi"/>
                <w:sz w:val="24"/>
                <w:szCs w:val="24"/>
              </w:rPr>
            </w:pPr>
            <w:r w:rsidRPr="00E517E1">
              <w:rPr>
                <w:rFonts w:cstheme="minorHAnsi"/>
                <w:sz w:val="24"/>
                <w:szCs w:val="24"/>
              </w:rPr>
              <w:t>£136.25 per week or £545 per month</w:t>
            </w:r>
          </w:p>
        </w:tc>
      </w:tr>
      <w:tr w:rsidRPr="00E517E1" w:rsidR="00E667EB" w:rsidTr="00E667EB" w14:paraId="1927DAC6" w14:textId="77777777">
        <w:tc>
          <w:tcPr>
            <w:tcW w:w="3120" w:type="dxa"/>
          </w:tcPr>
          <w:p w:rsidRPr="00E517E1" w:rsidR="00E667EB" w:rsidP="00F00A70" w:rsidRDefault="00E667EB" w14:paraId="62E712B4" w14:textId="77777777">
            <w:pPr>
              <w:spacing w:line="360" w:lineRule="auto"/>
              <w:rPr>
                <w:rFonts w:cstheme="minorHAnsi"/>
                <w:sz w:val="24"/>
                <w:szCs w:val="24"/>
              </w:rPr>
            </w:pPr>
            <w:r w:rsidRPr="00E517E1">
              <w:rPr>
                <w:rFonts w:cstheme="minorHAnsi"/>
                <w:sz w:val="24"/>
                <w:szCs w:val="24"/>
              </w:rPr>
              <w:t>Four to eight weeks</w:t>
            </w:r>
          </w:p>
        </w:tc>
        <w:tc>
          <w:tcPr>
            <w:tcW w:w="2810" w:type="dxa"/>
          </w:tcPr>
          <w:p w:rsidRPr="00E517E1" w:rsidR="00E667EB" w:rsidP="00F00A70" w:rsidRDefault="00E667EB" w14:paraId="55C570B6" w14:textId="77777777">
            <w:pPr>
              <w:spacing w:line="360" w:lineRule="auto"/>
              <w:rPr>
                <w:rFonts w:cstheme="minorHAnsi"/>
                <w:sz w:val="24"/>
                <w:szCs w:val="24"/>
              </w:rPr>
            </w:pPr>
            <w:r w:rsidRPr="00E517E1">
              <w:rPr>
                <w:rFonts w:cstheme="minorHAnsi"/>
                <w:sz w:val="24"/>
                <w:szCs w:val="24"/>
              </w:rPr>
              <w:t>Group 2 and Group 3</w:t>
            </w:r>
          </w:p>
        </w:tc>
        <w:tc>
          <w:tcPr>
            <w:tcW w:w="3086" w:type="dxa"/>
          </w:tcPr>
          <w:p w:rsidRPr="00E517E1" w:rsidR="00E667EB" w:rsidP="00F00A70" w:rsidRDefault="00E667EB" w14:paraId="1281D07C" w14:textId="77777777">
            <w:pPr>
              <w:spacing w:line="360" w:lineRule="auto"/>
              <w:rPr>
                <w:rFonts w:cstheme="minorHAnsi"/>
                <w:sz w:val="24"/>
                <w:szCs w:val="24"/>
              </w:rPr>
            </w:pPr>
            <w:r w:rsidRPr="00E517E1">
              <w:rPr>
                <w:rFonts w:cstheme="minorHAnsi"/>
                <w:sz w:val="24"/>
                <w:szCs w:val="24"/>
              </w:rPr>
              <w:t>£120 per week or £480 per month</w:t>
            </w:r>
          </w:p>
        </w:tc>
      </w:tr>
      <w:tr w:rsidRPr="00E517E1" w:rsidR="00E667EB" w:rsidTr="00E667EB" w14:paraId="5C933B2A" w14:textId="77777777">
        <w:tc>
          <w:tcPr>
            <w:tcW w:w="3120" w:type="dxa"/>
          </w:tcPr>
          <w:p w:rsidRPr="00E517E1" w:rsidR="00E667EB" w:rsidP="00F00A70" w:rsidRDefault="00E667EB" w14:paraId="29009A79" w14:textId="77777777">
            <w:pPr>
              <w:spacing w:line="360" w:lineRule="auto"/>
              <w:rPr>
                <w:rFonts w:cstheme="minorHAnsi"/>
                <w:sz w:val="24"/>
                <w:szCs w:val="24"/>
              </w:rPr>
            </w:pPr>
            <w:r w:rsidRPr="00E517E1">
              <w:rPr>
                <w:rFonts w:cstheme="minorHAnsi"/>
                <w:sz w:val="24"/>
                <w:szCs w:val="24"/>
              </w:rPr>
              <w:t>9 weeks to 12 months</w:t>
            </w:r>
          </w:p>
        </w:tc>
        <w:tc>
          <w:tcPr>
            <w:tcW w:w="2810" w:type="dxa"/>
          </w:tcPr>
          <w:p w:rsidRPr="00E517E1" w:rsidR="00E667EB" w:rsidP="00F00A70" w:rsidRDefault="00E667EB" w14:paraId="1732E4CF" w14:textId="77777777">
            <w:pPr>
              <w:spacing w:line="360" w:lineRule="auto"/>
              <w:rPr>
                <w:rFonts w:cstheme="minorHAnsi"/>
                <w:sz w:val="24"/>
                <w:szCs w:val="24"/>
              </w:rPr>
            </w:pPr>
            <w:r w:rsidRPr="00E517E1">
              <w:rPr>
                <w:rFonts w:cstheme="minorHAnsi"/>
                <w:sz w:val="24"/>
                <w:szCs w:val="24"/>
              </w:rPr>
              <w:t>Group 1</w:t>
            </w:r>
          </w:p>
        </w:tc>
        <w:tc>
          <w:tcPr>
            <w:tcW w:w="3086" w:type="dxa"/>
          </w:tcPr>
          <w:p w:rsidRPr="00E517E1" w:rsidR="00E667EB" w:rsidP="00F00A70" w:rsidRDefault="00E667EB" w14:paraId="16808C4E" w14:textId="77777777">
            <w:pPr>
              <w:spacing w:line="360" w:lineRule="auto"/>
              <w:rPr>
                <w:rFonts w:cstheme="minorHAnsi"/>
                <w:sz w:val="24"/>
                <w:szCs w:val="24"/>
              </w:rPr>
            </w:pPr>
            <w:r w:rsidRPr="00E517E1">
              <w:rPr>
                <w:rFonts w:cstheme="minorHAnsi"/>
                <w:sz w:val="24"/>
                <w:szCs w:val="24"/>
              </w:rPr>
              <w:t>£380 per month</w:t>
            </w:r>
          </w:p>
        </w:tc>
      </w:tr>
      <w:tr w:rsidRPr="00E517E1" w:rsidR="00E667EB" w:rsidTr="00E667EB" w14:paraId="3A43EEA2" w14:textId="77777777">
        <w:tc>
          <w:tcPr>
            <w:tcW w:w="3120" w:type="dxa"/>
          </w:tcPr>
          <w:p w:rsidRPr="00E517E1" w:rsidR="00E667EB" w:rsidP="00F00A70" w:rsidRDefault="00E667EB" w14:paraId="1751A841" w14:textId="77777777">
            <w:pPr>
              <w:spacing w:line="360" w:lineRule="auto"/>
              <w:rPr>
                <w:rFonts w:cstheme="minorHAnsi"/>
                <w:sz w:val="24"/>
                <w:szCs w:val="24"/>
              </w:rPr>
            </w:pPr>
            <w:r w:rsidRPr="00E517E1">
              <w:rPr>
                <w:rFonts w:cstheme="minorHAnsi"/>
                <w:sz w:val="24"/>
                <w:szCs w:val="24"/>
              </w:rPr>
              <w:t>9 weeks to 12 months</w:t>
            </w:r>
          </w:p>
        </w:tc>
        <w:tc>
          <w:tcPr>
            <w:tcW w:w="2810" w:type="dxa"/>
          </w:tcPr>
          <w:p w:rsidRPr="00E517E1" w:rsidR="00E667EB" w:rsidP="00F00A70" w:rsidRDefault="00E667EB" w14:paraId="32B091F7" w14:textId="77777777">
            <w:pPr>
              <w:spacing w:line="360" w:lineRule="auto"/>
              <w:rPr>
                <w:rFonts w:cstheme="minorHAnsi"/>
                <w:sz w:val="24"/>
                <w:szCs w:val="24"/>
              </w:rPr>
            </w:pPr>
            <w:r w:rsidRPr="00E517E1">
              <w:rPr>
                <w:rFonts w:cstheme="minorHAnsi"/>
                <w:sz w:val="24"/>
                <w:szCs w:val="24"/>
              </w:rPr>
              <w:t>Group 2 and Group 3</w:t>
            </w:r>
          </w:p>
        </w:tc>
        <w:tc>
          <w:tcPr>
            <w:tcW w:w="3086" w:type="dxa"/>
          </w:tcPr>
          <w:p w:rsidRPr="00E517E1" w:rsidR="00E667EB" w:rsidP="00F00A70" w:rsidRDefault="00E667EB" w14:paraId="3ADC8E17" w14:textId="77777777">
            <w:pPr>
              <w:spacing w:line="360" w:lineRule="auto"/>
              <w:rPr>
                <w:rFonts w:cstheme="minorHAnsi"/>
                <w:sz w:val="24"/>
                <w:szCs w:val="24"/>
              </w:rPr>
            </w:pPr>
            <w:r w:rsidRPr="00E517E1">
              <w:rPr>
                <w:rFonts w:cstheme="minorHAnsi"/>
                <w:sz w:val="24"/>
                <w:szCs w:val="24"/>
              </w:rPr>
              <w:t>£335 per month</w:t>
            </w:r>
          </w:p>
        </w:tc>
      </w:tr>
    </w:tbl>
    <w:p w:rsidRPr="00E517E1" w:rsidR="00754219" w:rsidP="00F00A70" w:rsidRDefault="003E5EAA" w14:paraId="5B26945E" w14:textId="25116DC6">
      <w:pPr>
        <w:spacing w:line="360" w:lineRule="auto"/>
        <w:rPr>
          <w:rFonts w:cstheme="minorHAnsi"/>
          <w:sz w:val="24"/>
          <w:szCs w:val="24"/>
        </w:rPr>
      </w:pPr>
      <w:r w:rsidRPr="00E517E1">
        <w:rPr>
          <w:rFonts w:cstheme="minorHAnsi"/>
          <w:sz w:val="24"/>
          <w:szCs w:val="24"/>
        </w:rPr>
        <w:br/>
      </w:r>
      <w:r w:rsidRPr="00E517E1" w:rsidR="00754219">
        <w:rPr>
          <w:rFonts w:cstheme="minorHAnsi"/>
          <w:b/>
          <w:bCs/>
          <w:sz w:val="24"/>
          <w:szCs w:val="24"/>
        </w:rPr>
        <w:t>Important</w:t>
      </w:r>
      <w:r w:rsidRPr="00E517E1" w:rsidR="00754219">
        <w:rPr>
          <w:rFonts w:cstheme="minorHAnsi"/>
          <w:sz w:val="24"/>
          <w:szCs w:val="24"/>
        </w:rPr>
        <w:t xml:space="preserve">: </w:t>
      </w:r>
      <w:r w:rsidRPr="00E517E1" w:rsidR="00A15099">
        <w:rPr>
          <w:rFonts w:cstheme="minorHAnsi"/>
          <w:sz w:val="24"/>
          <w:szCs w:val="24"/>
        </w:rPr>
        <w:t xml:space="preserve">Participants from disadvantaged </w:t>
      </w:r>
      <w:r w:rsidRPr="00E517E1" w:rsidR="003A42A3">
        <w:rPr>
          <w:rFonts w:cstheme="minorHAnsi"/>
          <w:sz w:val="24"/>
          <w:szCs w:val="24"/>
        </w:rPr>
        <w:t>backgrounds are</w:t>
      </w:r>
      <w:r w:rsidRPr="00E517E1" w:rsidR="00A15099">
        <w:rPr>
          <w:rFonts w:cstheme="minorHAnsi"/>
          <w:sz w:val="24"/>
          <w:szCs w:val="24"/>
        </w:rPr>
        <w:t xml:space="preserve"> eligible for additional cost of living grant</w:t>
      </w:r>
      <w:r w:rsidRPr="00E517E1" w:rsidR="0016266E">
        <w:rPr>
          <w:rFonts w:cstheme="minorHAnsi"/>
          <w:sz w:val="24"/>
          <w:szCs w:val="24"/>
        </w:rPr>
        <w:t xml:space="preserve"> which will be established at the time of initial student grant request</w:t>
      </w:r>
      <w:r w:rsidRPr="00E517E1" w:rsidR="00A15099">
        <w:rPr>
          <w:rFonts w:cstheme="minorHAnsi"/>
          <w:sz w:val="24"/>
          <w:szCs w:val="24"/>
        </w:rPr>
        <w:t xml:space="preserve">. Further details on eligibility criteria for disadvantaged students can be found here </w:t>
      </w:r>
      <w:hyperlink r:id="rId10">
        <w:r w:rsidRPr="00E517E1" w:rsidR="00A15099">
          <w:rPr>
            <w:rStyle w:val="Hyperlink"/>
            <w:rFonts w:cstheme="minorHAnsi"/>
            <w:sz w:val="24"/>
            <w:szCs w:val="24"/>
          </w:rPr>
          <w:t>https://www.turing-scheme.org.uk/about/widening-access/</w:t>
        </w:r>
      </w:hyperlink>
      <w:r w:rsidRPr="00E517E1" w:rsidR="00A15099">
        <w:rPr>
          <w:rFonts w:cstheme="minorHAnsi"/>
          <w:sz w:val="24"/>
          <w:szCs w:val="24"/>
        </w:rPr>
        <w:t xml:space="preserve"> </w:t>
      </w:r>
    </w:p>
    <w:p w:rsidRPr="00E517E1" w:rsidR="003F0158" w:rsidP="00F00A70" w:rsidRDefault="00355CE1" w14:paraId="7216B9FB" w14:textId="77777777">
      <w:pPr>
        <w:pStyle w:val="ListParagraph"/>
        <w:numPr>
          <w:ilvl w:val="0"/>
          <w:numId w:val="6"/>
        </w:numPr>
        <w:spacing w:line="360" w:lineRule="auto"/>
        <w:rPr>
          <w:rFonts w:cstheme="minorHAnsi"/>
          <w:i/>
          <w:sz w:val="24"/>
          <w:szCs w:val="24"/>
        </w:rPr>
      </w:pPr>
      <w:r w:rsidRPr="00E517E1">
        <w:rPr>
          <w:rFonts w:cstheme="minorHAnsi"/>
          <w:i/>
          <w:sz w:val="24"/>
          <w:szCs w:val="24"/>
        </w:rPr>
        <w:t>W</w:t>
      </w:r>
      <w:r w:rsidRPr="00E517E1" w:rsidR="003F0158">
        <w:rPr>
          <w:rFonts w:cstheme="minorHAnsi"/>
          <w:i/>
          <w:sz w:val="24"/>
          <w:szCs w:val="24"/>
        </w:rPr>
        <w:t>hat is the minimum and maximum duration of student mobilities</w:t>
      </w:r>
      <w:r w:rsidRPr="00E517E1" w:rsidR="0016266E">
        <w:rPr>
          <w:rFonts w:cstheme="minorHAnsi"/>
          <w:i/>
          <w:sz w:val="24"/>
          <w:szCs w:val="24"/>
        </w:rPr>
        <w:t>?</w:t>
      </w:r>
    </w:p>
    <w:p w:rsidRPr="00E517E1" w:rsidR="003F0158" w:rsidP="00F00A70" w:rsidRDefault="004F4663" w14:paraId="6CE9B83C" w14:textId="2182CE28">
      <w:pPr>
        <w:spacing w:line="360" w:lineRule="auto"/>
        <w:rPr>
          <w:rFonts w:cstheme="minorHAnsi"/>
          <w:sz w:val="24"/>
          <w:szCs w:val="24"/>
        </w:rPr>
      </w:pPr>
      <w:r w:rsidRPr="00E517E1">
        <w:rPr>
          <w:rFonts w:cstheme="minorHAnsi"/>
          <w:sz w:val="24"/>
          <w:szCs w:val="24"/>
        </w:rPr>
        <w:t>The Turing scheme allows for the differences in academic periods or term dates across different countries. However, majority of the project</w:t>
      </w:r>
      <w:r w:rsidRPr="00E517E1" w:rsidR="00A03A6A">
        <w:rPr>
          <w:rFonts w:cstheme="minorHAnsi"/>
          <w:sz w:val="24"/>
          <w:szCs w:val="24"/>
        </w:rPr>
        <w:t>/ placement</w:t>
      </w:r>
      <w:r w:rsidRPr="00E517E1">
        <w:rPr>
          <w:rFonts w:cstheme="minorHAnsi"/>
          <w:sz w:val="24"/>
          <w:szCs w:val="24"/>
        </w:rPr>
        <w:t xml:space="preserve"> duration must take place within the academic year for which funding has been requested </w:t>
      </w:r>
      <w:r w:rsidRPr="00E517E1" w:rsidR="00F00A70">
        <w:rPr>
          <w:rFonts w:cstheme="minorHAnsi"/>
          <w:sz w:val="24"/>
          <w:szCs w:val="24"/>
        </w:rPr>
        <w:t xml:space="preserve">for </w:t>
      </w:r>
      <w:r w:rsidRPr="00E517E1">
        <w:rPr>
          <w:rFonts w:cstheme="minorHAnsi"/>
          <w:sz w:val="24"/>
          <w:szCs w:val="24"/>
        </w:rPr>
        <w:t>and granted. For instance, for academic year 2022-23, majority of the p</w:t>
      </w:r>
      <w:r w:rsidRPr="00E517E1" w:rsidR="003F0158">
        <w:rPr>
          <w:rFonts w:cstheme="minorHAnsi"/>
          <w:sz w:val="24"/>
          <w:szCs w:val="24"/>
        </w:rPr>
        <w:t xml:space="preserve">roject </w:t>
      </w:r>
      <w:r w:rsidRPr="00E517E1">
        <w:rPr>
          <w:rFonts w:cstheme="minorHAnsi"/>
          <w:sz w:val="24"/>
          <w:szCs w:val="24"/>
        </w:rPr>
        <w:t>must occur between</w:t>
      </w:r>
      <w:r w:rsidRPr="00E517E1" w:rsidR="003F0158">
        <w:rPr>
          <w:rFonts w:cstheme="minorHAnsi"/>
          <w:sz w:val="24"/>
          <w:szCs w:val="24"/>
        </w:rPr>
        <w:t xml:space="preserve"> 1 September 2022 and </w:t>
      </w:r>
      <w:r w:rsidRPr="00E517E1">
        <w:rPr>
          <w:rFonts w:cstheme="minorHAnsi"/>
          <w:sz w:val="24"/>
          <w:szCs w:val="24"/>
        </w:rPr>
        <w:t>have an</w:t>
      </w:r>
      <w:r w:rsidRPr="00E517E1" w:rsidR="003F0158">
        <w:rPr>
          <w:rFonts w:cstheme="minorHAnsi"/>
          <w:sz w:val="24"/>
          <w:szCs w:val="24"/>
        </w:rPr>
        <w:t xml:space="preserve"> end date of 31 August 2023. Funding can only be used for activity within these dates</w:t>
      </w:r>
      <w:r w:rsidRPr="00E517E1">
        <w:rPr>
          <w:rFonts w:cstheme="minorHAnsi"/>
          <w:sz w:val="24"/>
          <w:szCs w:val="24"/>
        </w:rPr>
        <w:t xml:space="preserve"> and any mobility outside of these dates will not be funded by the Turing scheme. </w:t>
      </w:r>
    </w:p>
    <w:p w:rsidRPr="00E517E1" w:rsidR="003F0158" w:rsidP="00F00A70" w:rsidRDefault="007F7170" w14:paraId="5D4DBEEB" w14:textId="77777777">
      <w:pPr>
        <w:pStyle w:val="ListParagraph"/>
        <w:numPr>
          <w:ilvl w:val="0"/>
          <w:numId w:val="6"/>
        </w:numPr>
        <w:spacing w:line="360" w:lineRule="auto"/>
        <w:rPr>
          <w:rFonts w:cstheme="minorHAnsi"/>
          <w:i/>
          <w:sz w:val="24"/>
          <w:szCs w:val="24"/>
        </w:rPr>
      </w:pPr>
      <w:r w:rsidRPr="00E517E1">
        <w:rPr>
          <w:rFonts w:cstheme="minorHAnsi"/>
          <w:i/>
          <w:sz w:val="24"/>
          <w:szCs w:val="24"/>
        </w:rPr>
        <w:t>How can students apply for Turing funding</w:t>
      </w:r>
      <w:r w:rsidRPr="00E517E1" w:rsidR="0016266E">
        <w:rPr>
          <w:rFonts w:cstheme="minorHAnsi"/>
          <w:i/>
          <w:sz w:val="24"/>
          <w:szCs w:val="24"/>
        </w:rPr>
        <w:t>?</w:t>
      </w:r>
    </w:p>
    <w:p w:rsidRPr="00E517E1" w:rsidR="00DF28D0" w:rsidP="4735592B" w:rsidRDefault="00BE4C08" w14:paraId="0920FA5B" w14:textId="77777777">
      <w:pPr>
        <w:spacing w:line="360" w:lineRule="auto"/>
        <w:rPr>
          <w:rFonts w:cstheme="minorHAnsi"/>
          <w:sz w:val="24"/>
          <w:szCs w:val="24"/>
        </w:rPr>
      </w:pPr>
      <w:r w:rsidRPr="00E517E1">
        <w:rPr>
          <w:rFonts w:cstheme="minorHAnsi"/>
          <w:sz w:val="24"/>
          <w:szCs w:val="24"/>
        </w:rPr>
        <w:t>Students cannot apply directly for Turing funding since the process is managed by the programme team and the Study Abroad team who work closely to apply for specific study abroad opportunities which the student is interested in</w:t>
      </w:r>
      <w:r w:rsidRPr="00E517E1" w:rsidR="007F7170">
        <w:rPr>
          <w:rFonts w:cstheme="minorHAnsi"/>
          <w:sz w:val="24"/>
          <w:szCs w:val="24"/>
        </w:rPr>
        <w:t xml:space="preserve">. </w:t>
      </w:r>
      <w:r w:rsidRPr="00E517E1" w:rsidR="00391920">
        <w:rPr>
          <w:rFonts w:cstheme="minorHAnsi"/>
          <w:sz w:val="24"/>
          <w:szCs w:val="24"/>
        </w:rPr>
        <w:t xml:space="preserve">It may well be that the programme has an established partnership with partner organisations or that they may be able to facilitate mobilities where students have identified the University they wish to go to for </w:t>
      </w:r>
      <w:r w:rsidRPr="00E517E1" w:rsidR="00391920">
        <w:rPr>
          <w:rFonts w:cstheme="minorHAnsi"/>
          <w:sz w:val="24"/>
          <w:szCs w:val="24"/>
        </w:rPr>
        <w:lastRenderedPageBreak/>
        <w:t xml:space="preserve">their mobility. Students and the programme team </w:t>
      </w:r>
      <w:r w:rsidRPr="00E517E1" w:rsidR="003B7DD0">
        <w:rPr>
          <w:rFonts w:cstheme="minorHAnsi"/>
          <w:sz w:val="24"/>
          <w:szCs w:val="24"/>
        </w:rPr>
        <w:t>(including</w:t>
      </w:r>
      <w:r w:rsidRPr="00E517E1" w:rsidR="00391920">
        <w:rPr>
          <w:rFonts w:cstheme="minorHAnsi"/>
          <w:sz w:val="24"/>
          <w:szCs w:val="24"/>
        </w:rPr>
        <w:t xml:space="preserve"> course director and/or academic adviser) need</w:t>
      </w:r>
      <w:r w:rsidRPr="00E517E1" w:rsidR="007F7170">
        <w:rPr>
          <w:rFonts w:cstheme="minorHAnsi"/>
          <w:sz w:val="24"/>
          <w:szCs w:val="24"/>
        </w:rPr>
        <w:t xml:space="preserve"> to identify and discuss details of their mobility including project duration, destination and subject area of </w:t>
      </w:r>
      <w:r w:rsidRPr="00E517E1" w:rsidR="00A21110">
        <w:rPr>
          <w:rFonts w:cstheme="minorHAnsi"/>
          <w:sz w:val="24"/>
          <w:szCs w:val="24"/>
        </w:rPr>
        <w:t>interest</w:t>
      </w:r>
      <w:r w:rsidRPr="00E517E1">
        <w:rPr>
          <w:rFonts w:cstheme="minorHAnsi"/>
          <w:sz w:val="24"/>
          <w:szCs w:val="24"/>
        </w:rPr>
        <w:t xml:space="preserve"> and any follow-on assessments which may need to be completed as part of the </w:t>
      </w:r>
      <w:r w:rsidRPr="00E517E1" w:rsidR="00427C49">
        <w:rPr>
          <w:rFonts w:cstheme="minorHAnsi"/>
          <w:sz w:val="24"/>
          <w:szCs w:val="24"/>
        </w:rPr>
        <w:t>placement or study abroad project</w:t>
      </w:r>
      <w:r w:rsidRPr="00E517E1" w:rsidR="00A21110">
        <w:rPr>
          <w:rFonts w:cstheme="minorHAnsi"/>
          <w:sz w:val="24"/>
          <w:szCs w:val="24"/>
        </w:rPr>
        <w:t>.</w:t>
      </w:r>
      <w:r w:rsidRPr="00E517E1" w:rsidR="00391920">
        <w:rPr>
          <w:rFonts w:cstheme="minorHAnsi"/>
          <w:sz w:val="24"/>
          <w:szCs w:val="24"/>
        </w:rPr>
        <w:t xml:space="preserve"> </w:t>
      </w:r>
    </w:p>
    <w:p w:rsidRPr="00E517E1" w:rsidR="007F7170" w:rsidP="00F00A70" w:rsidRDefault="008D5CBD" w14:paraId="0C3B0C6C" w14:textId="5A7E1421">
      <w:pPr>
        <w:spacing w:line="360" w:lineRule="auto"/>
        <w:rPr>
          <w:rFonts w:cstheme="minorHAnsi"/>
          <w:sz w:val="24"/>
          <w:szCs w:val="24"/>
        </w:rPr>
      </w:pPr>
      <w:r w:rsidRPr="00E517E1">
        <w:rPr>
          <w:rFonts w:cstheme="minorHAnsi"/>
          <w:sz w:val="24"/>
          <w:szCs w:val="24"/>
        </w:rPr>
        <w:t xml:space="preserve">Once the Turing funding amount is confirmed, students will be contacted by the Quality and Partnerships Officer to complete </w:t>
      </w:r>
      <w:r w:rsidRPr="00E517E1" w:rsidR="00F00A70">
        <w:rPr>
          <w:rFonts w:cstheme="minorHAnsi"/>
          <w:sz w:val="24"/>
          <w:szCs w:val="24"/>
        </w:rPr>
        <w:t>mandatory</w:t>
      </w:r>
      <w:r w:rsidRPr="00E517E1">
        <w:rPr>
          <w:rFonts w:cstheme="minorHAnsi"/>
          <w:sz w:val="24"/>
          <w:szCs w:val="24"/>
        </w:rPr>
        <w:t xml:space="preserve"> paperwork such as Student Learning </w:t>
      </w:r>
      <w:r w:rsidRPr="00E517E1" w:rsidR="00AC0E0D">
        <w:rPr>
          <w:rFonts w:cstheme="minorHAnsi"/>
          <w:sz w:val="24"/>
          <w:szCs w:val="24"/>
        </w:rPr>
        <w:t>Agreement,</w:t>
      </w:r>
      <w:r w:rsidRPr="00E517E1">
        <w:rPr>
          <w:rFonts w:cstheme="minorHAnsi"/>
          <w:sz w:val="24"/>
          <w:szCs w:val="24"/>
        </w:rPr>
        <w:t xml:space="preserve"> Student Grant Agreement, Student Arrival/ departure forms</w:t>
      </w:r>
      <w:r w:rsidRPr="00E517E1" w:rsidR="00F00A70">
        <w:rPr>
          <w:rFonts w:cstheme="minorHAnsi"/>
          <w:sz w:val="24"/>
          <w:szCs w:val="24"/>
        </w:rPr>
        <w:t>.</w:t>
      </w:r>
      <w:r w:rsidRPr="00E517E1" w:rsidR="00A96307">
        <w:rPr>
          <w:rFonts w:cstheme="minorHAnsi"/>
          <w:sz w:val="24"/>
          <w:szCs w:val="24"/>
        </w:rPr>
        <w:t xml:space="preserve"> </w:t>
      </w:r>
    </w:p>
    <w:p w:rsidRPr="00E517E1" w:rsidR="008D5CBD" w:rsidP="00F00A70" w:rsidRDefault="008D5CBD" w14:paraId="5058550A" w14:textId="77777777">
      <w:pPr>
        <w:pStyle w:val="ListParagraph"/>
        <w:numPr>
          <w:ilvl w:val="0"/>
          <w:numId w:val="6"/>
        </w:numPr>
        <w:spacing w:line="360" w:lineRule="auto"/>
        <w:rPr>
          <w:rFonts w:cstheme="minorHAnsi"/>
          <w:i/>
          <w:sz w:val="24"/>
          <w:szCs w:val="24"/>
        </w:rPr>
      </w:pPr>
      <w:r w:rsidRPr="00E517E1">
        <w:rPr>
          <w:rFonts w:cstheme="minorHAnsi"/>
          <w:i/>
          <w:sz w:val="24"/>
          <w:szCs w:val="24"/>
        </w:rPr>
        <w:t>When do students receive their grant funding</w:t>
      </w:r>
      <w:r w:rsidRPr="00E517E1" w:rsidR="0016266E">
        <w:rPr>
          <w:rFonts w:cstheme="minorHAnsi"/>
          <w:i/>
          <w:sz w:val="24"/>
          <w:szCs w:val="24"/>
        </w:rPr>
        <w:t>?</w:t>
      </w:r>
    </w:p>
    <w:p w:rsidRPr="00E517E1" w:rsidR="008D5CBD" w:rsidP="00F00A70" w:rsidRDefault="003567C3" w14:paraId="67C3373F" w14:textId="3480E580">
      <w:pPr>
        <w:spacing w:line="360" w:lineRule="auto"/>
        <w:rPr>
          <w:rFonts w:cstheme="minorHAnsi"/>
          <w:sz w:val="24"/>
          <w:szCs w:val="24"/>
        </w:rPr>
      </w:pPr>
      <w:r w:rsidRPr="00E517E1">
        <w:rPr>
          <w:rFonts w:cstheme="minorHAnsi"/>
          <w:sz w:val="24"/>
          <w:szCs w:val="24"/>
        </w:rPr>
        <w:t>Once the student funding request is approved by Capita, s</w:t>
      </w:r>
      <w:r w:rsidRPr="00E517E1" w:rsidR="008D5CBD">
        <w:rPr>
          <w:rFonts w:cstheme="minorHAnsi"/>
          <w:sz w:val="24"/>
          <w:szCs w:val="24"/>
        </w:rPr>
        <w:t>tudents receive 80% of the total amount of mobility funding at the beginning of their stay</w:t>
      </w:r>
      <w:r w:rsidRPr="00E517E1" w:rsidR="00720879">
        <w:rPr>
          <w:rFonts w:cstheme="minorHAnsi"/>
          <w:sz w:val="24"/>
          <w:szCs w:val="24"/>
        </w:rPr>
        <w:t xml:space="preserve">/ mobility </w:t>
      </w:r>
      <w:r w:rsidRPr="00E517E1" w:rsidR="008D5CBD">
        <w:rPr>
          <w:rFonts w:cstheme="minorHAnsi"/>
          <w:sz w:val="24"/>
          <w:szCs w:val="24"/>
        </w:rPr>
        <w:t>and the remaining 20% after such mobility is complete</w:t>
      </w:r>
      <w:r w:rsidRPr="00E517E1" w:rsidR="004448DA">
        <w:rPr>
          <w:rFonts w:cstheme="minorHAnsi"/>
          <w:sz w:val="24"/>
          <w:szCs w:val="24"/>
        </w:rPr>
        <w:t xml:space="preserve"> subject to satisfactory completion of paperwork including</w:t>
      </w:r>
      <w:r w:rsidRPr="00E517E1" w:rsidR="003D6352">
        <w:rPr>
          <w:rFonts w:cstheme="minorHAnsi"/>
          <w:sz w:val="24"/>
          <w:szCs w:val="24"/>
        </w:rPr>
        <w:t xml:space="preserve"> </w:t>
      </w:r>
      <w:r w:rsidRPr="00E517E1" w:rsidR="003673DF">
        <w:rPr>
          <w:rFonts w:cstheme="minorHAnsi"/>
          <w:sz w:val="24"/>
          <w:szCs w:val="24"/>
        </w:rPr>
        <w:t xml:space="preserve">proof of fulfilment of assessments or skills gained during the placement. </w:t>
      </w:r>
      <w:r w:rsidRPr="00E517E1" w:rsidR="008D5CBD">
        <w:rPr>
          <w:rFonts w:cstheme="minorHAnsi"/>
          <w:sz w:val="24"/>
          <w:szCs w:val="24"/>
        </w:rPr>
        <w:t xml:space="preserve">In addition, students from disadvantaged backgrounds might be asked to submit additional documents to receive the top up funding, such as proof of family income etc. </w:t>
      </w:r>
    </w:p>
    <w:p w:rsidRPr="00E517E1" w:rsidR="00335A8A" w:rsidP="00F00A70" w:rsidRDefault="00335A8A" w14:paraId="472B6B31" w14:textId="528D4331">
      <w:pPr>
        <w:pStyle w:val="ListParagraph"/>
        <w:numPr>
          <w:ilvl w:val="0"/>
          <w:numId w:val="6"/>
        </w:numPr>
        <w:spacing w:line="360" w:lineRule="auto"/>
        <w:rPr>
          <w:rFonts w:cstheme="minorHAnsi"/>
          <w:i/>
          <w:sz w:val="24"/>
          <w:szCs w:val="24"/>
        </w:rPr>
      </w:pPr>
      <w:r w:rsidRPr="00E517E1">
        <w:rPr>
          <w:rFonts w:cstheme="minorHAnsi"/>
          <w:i/>
          <w:sz w:val="24"/>
          <w:szCs w:val="24"/>
        </w:rPr>
        <w:t>Student responsibilities as recipient</w:t>
      </w:r>
      <w:r w:rsidRPr="00E517E1" w:rsidR="00E10516">
        <w:rPr>
          <w:rFonts w:cstheme="minorHAnsi"/>
          <w:i/>
          <w:sz w:val="24"/>
          <w:szCs w:val="24"/>
        </w:rPr>
        <w:t>s</w:t>
      </w:r>
      <w:r w:rsidRPr="00E517E1">
        <w:rPr>
          <w:rFonts w:cstheme="minorHAnsi"/>
          <w:i/>
          <w:sz w:val="24"/>
          <w:szCs w:val="24"/>
        </w:rPr>
        <w:t xml:space="preserve"> of Turing funding</w:t>
      </w:r>
    </w:p>
    <w:p w:rsidRPr="00E517E1" w:rsidR="005A7D5E" w:rsidP="00C42CAB" w:rsidRDefault="00346D30" w14:paraId="79E6C55B" w14:textId="004F57F9">
      <w:pPr>
        <w:spacing w:line="360" w:lineRule="auto"/>
        <w:rPr>
          <w:rFonts w:cstheme="minorHAnsi"/>
          <w:sz w:val="24"/>
          <w:szCs w:val="24"/>
        </w:rPr>
      </w:pPr>
      <w:r w:rsidRPr="00E517E1">
        <w:rPr>
          <w:rFonts w:cstheme="minorHAnsi"/>
          <w:sz w:val="24"/>
          <w:szCs w:val="24"/>
        </w:rPr>
        <w:t xml:space="preserve">Arrival certificate signed and stamped by the host university and a completed and signed departure form before departure from host university. Students are required to be present in the host country for the entirety of the placement duration. Holidays are excluded from such requirement but students are not allowed to study online and receive the funding. </w:t>
      </w:r>
      <w:r w:rsidRPr="00E517E1" w:rsidR="00AE689F">
        <w:rPr>
          <w:rFonts w:cstheme="minorHAnsi"/>
          <w:sz w:val="24"/>
          <w:szCs w:val="24"/>
        </w:rPr>
        <w:t xml:space="preserve">In addition, and as mentioned in question 6 above, each programme might have different requirements </w:t>
      </w:r>
      <w:r w:rsidRPr="00E517E1" w:rsidR="006167D6">
        <w:rPr>
          <w:rFonts w:cstheme="minorHAnsi"/>
          <w:sz w:val="24"/>
          <w:szCs w:val="24"/>
        </w:rPr>
        <w:t>in terms of completing the placement or project such as writing a report, making a presentation, completing an assessment etc. Please note that the full monies from the Turing scheme will be paid to the student only on satisfactory completion of end of placement/ training year assessments. Please discuss this aspect with your programme team.</w:t>
      </w:r>
    </w:p>
    <w:p w:rsidRPr="00E517E1" w:rsidR="007F7170" w:rsidP="00C42CAB" w:rsidRDefault="009C60B1" w14:paraId="32956F3F" w14:textId="0F930399">
      <w:pPr>
        <w:pStyle w:val="ListParagraph"/>
        <w:numPr>
          <w:ilvl w:val="0"/>
          <w:numId w:val="6"/>
        </w:numPr>
        <w:spacing w:line="360" w:lineRule="auto"/>
        <w:rPr>
          <w:rFonts w:cstheme="minorHAnsi"/>
          <w:i/>
          <w:sz w:val="24"/>
          <w:szCs w:val="24"/>
        </w:rPr>
      </w:pPr>
      <w:r w:rsidRPr="00E517E1">
        <w:rPr>
          <w:rFonts w:cstheme="minorHAnsi"/>
          <w:i/>
          <w:sz w:val="24"/>
          <w:szCs w:val="24"/>
        </w:rPr>
        <w:t>Where can I get advice about visas?</w:t>
      </w:r>
    </w:p>
    <w:p w:rsidRPr="00E517E1" w:rsidR="009C60B1" w:rsidP="00F00A70" w:rsidRDefault="009C60B1" w14:paraId="29D98D9E" w14:textId="77777777">
      <w:pPr>
        <w:spacing w:line="360" w:lineRule="auto"/>
        <w:rPr>
          <w:rFonts w:cstheme="minorHAnsi"/>
          <w:sz w:val="24"/>
          <w:szCs w:val="24"/>
        </w:rPr>
      </w:pPr>
      <w:r w:rsidRPr="00E517E1">
        <w:rPr>
          <w:rFonts w:cstheme="minorHAnsi"/>
          <w:sz w:val="24"/>
          <w:szCs w:val="24"/>
        </w:rPr>
        <w:t xml:space="preserve">Students are responsible for making their own travel arrangements including arranging visas allowing for as much visa processing time as possible.  Students will need to carry out their </w:t>
      </w:r>
      <w:r w:rsidRPr="00E517E1">
        <w:rPr>
          <w:rFonts w:cstheme="minorHAnsi"/>
          <w:sz w:val="24"/>
          <w:szCs w:val="24"/>
        </w:rPr>
        <w:lastRenderedPageBreak/>
        <w:t xml:space="preserve">own research to ensure that they are visa compliant at destination country. We suggest that students also check FCDO’s webpage for any travel guidance. </w:t>
      </w:r>
    </w:p>
    <w:p w:rsidRPr="00E517E1" w:rsidR="009C60B1" w:rsidP="00F00A70" w:rsidRDefault="009C60B1" w14:paraId="1A1AB60D" w14:textId="7E0F9888">
      <w:pPr>
        <w:spacing w:line="360" w:lineRule="auto"/>
        <w:rPr>
          <w:rFonts w:cstheme="minorHAnsi"/>
          <w:sz w:val="24"/>
          <w:szCs w:val="24"/>
        </w:rPr>
      </w:pPr>
      <w:r w:rsidRPr="00E517E1">
        <w:rPr>
          <w:rFonts w:cstheme="minorHAnsi"/>
          <w:sz w:val="24"/>
          <w:szCs w:val="24"/>
        </w:rPr>
        <w:t xml:space="preserve">In some cases, the host or partner university’s international office may contact you with details about visa requirements.  </w:t>
      </w:r>
    </w:p>
    <w:p w:rsidRPr="00E517E1" w:rsidR="00A64E66" w:rsidP="00A64E66" w:rsidRDefault="00A64E66" w14:paraId="375B8F7E" w14:textId="7B09E017">
      <w:pPr>
        <w:pStyle w:val="ListParagraph"/>
        <w:numPr>
          <w:ilvl w:val="0"/>
          <w:numId w:val="6"/>
        </w:numPr>
        <w:spacing w:line="360" w:lineRule="auto"/>
        <w:rPr>
          <w:rFonts w:cstheme="minorHAnsi"/>
          <w:i/>
          <w:sz w:val="24"/>
          <w:szCs w:val="24"/>
        </w:rPr>
      </w:pPr>
      <w:r w:rsidRPr="00E517E1">
        <w:rPr>
          <w:rFonts w:cstheme="minorHAnsi"/>
          <w:i/>
          <w:sz w:val="24"/>
          <w:szCs w:val="24"/>
        </w:rPr>
        <w:t>Who do I get in touch with to discuss my interest in applying for the Turing scheme funding?</w:t>
      </w:r>
    </w:p>
    <w:p w:rsidRPr="00E517E1" w:rsidR="00DE4F00" w:rsidP="00A64E66" w:rsidRDefault="00A64E66" w14:paraId="507C6348" w14:textId="5E339687">
      <w:pPr>
        <w:spacing w:line="360" w:lineRule="auto"/>
        <w:rPr>
          <w:rFonts w:cstheme="minorHAnsi"/>
          <w:sz w:val="24"/>
          <w:szCs w:val="24"/>
        </w:rPr>
      </w:pPr>
      <w:r w:rsidRPr="00E517E1">
        <w:rPr>
          <w:rFonts w:cstheme="minorHAnsi"/>
          <w:sz w:val="24"/>
          <w:szCs w:val="24"/>
        </w:rPr>
        <w:t>In the first instance, please get in touch with your Course Director and programme team</w:t>
      </w:r>
      <w:r w:rsidRPr="00E517E1" w:rsidR="0049515C">
        <w:rPr>
          <w:rFonts w:cstheme="minorHAnsi"/>
          <w:sz w:val="24"/>
          <w:szCs w:val="24"/>
        </w:rPr>
        <w:t xml:space="preserve"> to discuss</w:t>
      </w:r>
      <w:r w:rsidRPr="00E517E1" w:rsidR="004D0C33">
        <w:rPr>
          <w:rFonts w:cstheme="minorHAnsi"/>
          <w:sz w:val="24"/>
          <w:szCs w:val="24"/>
        </w:rPr>
        <w:t xml:space="preserve"> what</w:t>
      </w:r>
      <w:r w:rsidRPr="00E517E1" w:rsidR="0004128D">
        <w:rPr>
          <w:rFonts w:cstheme="minorHAnsi"/>
          <w:sz w:val="24"/>
          <w:szCs w:val="24"/>
        </w:rPr>
        <w:t xml:space="preserve"> Turing</w:t>
      </w:r>
      <w:r w:rsidRPr="00E517E1" w:rsidR="004D0C33">
        <w:rPr>
          <w:rFonts w:cstheme="minorHAnsi"/>
          <w:sz w:val="24"/>
          <w:szCs w:val="24"/>
        </w:rPr>
        <w:t xml:space="preserve"> </w:t>
      </w:r>
      <w:r w:rsidRPr="00E517E1" w:rsidR="00DE4F00">
        <w:rPr>
          <w:rFonts w:cstheme="minorHAnsi"/>
          <w:sz w:val="24"/>
          <w:szCs w:val="24"/>
        </w:rPr>
        <w:t>mobility opportunities, if any, are available within your programme</w:t>
      </w:r>
      <w:r w:rsidRPr="00E517E1" w:rsidR="0049515C">
        <w:rPr>
          <w:rFonts w:cstheme="minorHAnsi"/>
          <w:sz w:val="24"/>
          <w:szCs w:val="24"/>
        </w:rPr>
        <w:t>.</w:t>
      </w:r>
    </w:p>
    <w:p w:rsidRPr="005A7D5E" w:rsidR="00720879" w:rsidP="0059203B" w:rsidRDefault="0049515C" w14:paraId="0DC6C76C" w14:textId="1F57145B">
      <w:pPr>
        <w:spacing w:line="360" w:lineRule="auto"/>
        <w:rPr>
          <w:rFonts w:ascii="Book Antiqua" w:hAnsi="Book Antiqua"/>
          <w:sz w:val="24"/>
          <w:szCs w:val="24"/>
        </w:rPr>
      </w:pPr>
      <w:r w:rsidRPr="005A7D5E">
        <w:rPr>
          <w:rFonts w:ascii="Book Antiqua" w:hAnsi="Book Antiqua"/>
          <w:sz w:val="24"/>
          <w:szCs w:val="24"/>
        </w:rPr>
        <w:t xml:space="preserve"> </w:t>
      </w:r>
      <w:r w:rsidRPr="005A7D5E" w:rsidR="00A64E66">
        <w:rPr>
          <w:rFonts w:ascii="Book Antiqua" w:hAnsi="Book Antiqua"/>
          <w:sz w:val="24"/>
          <w:szCs w:val="24"/>
        </w:rPr>
        <w:t xml:space="preserve"> </w:t>
      </w:r>
    </w:p>
    <w:sectPr w:rsidRPr="005A7D5E" w:rsidR="0072087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2963" w16cex:dateUtc="2022-10-12T10:54:00Z"/>
  <w16cex:commentExtensible w16cex:durableId="26F129D3" w16cex:dateUtc="2022-10-12T10:56:00Z"/>
  <w16cex:commentExtensible w16cex:durableId="26F12C7F" w16cex:dateUtc="2022-10-12T11:07:00Z"/>
  <w16cex:commentExtensible w16cex:durableId="26F12B44" w16cex:dateUtc="2022-10-12T11:02:00Z"/>
  <w16cex:commentExtensible w16cex:durableId="26F12D3B" w16cex:dateUtc="2022-10-12T11:1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86EA8"/>
    <w:multiLevelType w:val="hybridMultilevel"/>
    <w:tmpl w:val="777E8BA0"/>
    <w:lvl w:ilvl="0" w:tplc="ECF88C5E">
      <w:start w:val="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D5826"/>
    <w:multiLevelType w:val="hybridMultilevel"/>
    <w:tmpl w:val="4196ADEA"/>
    <w:lvl w:ilvl="0" w:tplc="ACBE71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3B49C0"/>
    <w:multiLevelType w:val="hybridMultilevel"/>
    <w:tmpl w:val="2578EEE0"/>
    <w:lvl w:ilvl="0" w:tplc="92B241FE">
      <w:start w:val="1"/>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A748A"/>
    <w:multiLevelType w:val="hybridMultilevel"/>
    <w:tmpl w:val="F2266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5A4DEA"/>
    <w:multiLevelType w:val="hybridMultilevel"/>
    <w:tmpl w:val="5A70F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0D0C37"/>
    <w:multiLevelType w:val="hybridMultilevel"/>
    <w:tmpl w:val="233E5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E7"/>
    <w:rsid w:val="00040DD7"/>
    <w:rsid w:val="0004128D"/>
    <w:rsid w:val="0009773C"/>
    <w:rsid w:val="000C455A"/>
    <w:rsid w:val="0011129C"/>
    <w:rsid w:val="00111DA5"/>
    <w:rsid w:val="00140C7C"/>
    <w:rsid w:val="0016266E"/>
    <w:rsid w:val="00163C2C"/>
    <w:rsid w:val="001C778F"/>
    <w:rsid w:val="001E4464"/>
    <w:rsid w:val="002223A6"/>
    <w:rsid w:val="00236320"/>
    <w:rsid w:val="00271EDE"/>
    <w:rsid w:val="00276A6B"/>
    <w:rsid w:val="00282D81"/>
    <w:rsid w:val="00291F44"/>
    <w:rsid w:val="00320C63"/>
    <w:rsid w:val="00335A8A"/>
    <w:rsid w:val="00346D30"/>
    <w:rsid w:val="00355CE1"/>
    <w:rsid w:val="003567C3"/>
    <w:rsid w:val="003673DF"/>
    <w:rsid w:val="00382D18"/>
    <w:rsid w:val="00391920"/>
    <w:rsid w:val="003A42A3"/>
    <w:rsid w:val="003B7DD0"/>
    <w:rsid w:val="003D6352"/>
    <w:rsid w:val="003D7864"/>
    <w:rsid w:val="003E05FE"/>
    <w:rsid w:val="003E5EAA"/>
    <w:rsid w:val="003F0158"/>
    <w:rsid w:val="00427C49"/>
    <w:rsid w:val="004448DA"/>
    <w:rsid w:val="00450E52"/>
    <w:rsid w:val="00452C0C"/>
    <w:rsid w:val="00456198"/>
    <w:rsid w:val="0049515C"/>
    <w:rsid w:val="004B57CC"/>
    <w:rsid w:val="004D0C33"/>
    <w:rsid w:val="004F291F"/>
    <w:rsid w:val="004F4663"/>
    <w:rsid w:val="005466D4"/>
    <w:rsid w:val="0059203B"/>
    <w:rsid w:val="005A479B"/>
    <w:rsid w:val="005A7D5E"/>
    <w:rsid w:val="00612D67"/>
    <w:rsid w:val="006167D6"/>
    <w:rsid w:val="006449A7"/>
    <w:rsid w:val="0065640C"/>
    <w:rsid w:val="007004DF"/>
    <w:rsid w:val="007113DD"/>
    <w:rsid w:val="0071325D"/>
    <w:rsid w:val="00720879"/>
    <w:rsid w:val="00754219"/>
    <w:rsid w:val="007602B0"/>
    <w:rsid w:val="007F200F"/>
    <w:rsid w:val="007F7170"/>
    <w:rsid w:val="00806BF1"/>
    <w:rsid w:val="00862A45"/>
    <w:rsid w:val="008B3261"/>
    <w:rsid w:val="008D5CBD"/>
    <w:rsid w:val="009038B8"/>
    <w:rsid w:val="009238CC"/>
    <w:rsid w:val="00984F85"/>
    <w:rsid w:val="009C60B1"/>
    <w:rsid w:val="00A03A6A"/>
    <w:rsid w:val="00A1216A"/>
    <w:rsid w:val="00A15099"/>
    <w:rsid w:val="00A21110"/>
    <w:rsid w:val="00A43B64"/>
    <w:rsid w:val="00A64E66"/>
    <w:rsid w:val="00A82D9D"/>
    <w:rsid w:val="00A96307"/>
    <w:rsid w:val="00AC0E0D"/>
    <w:rsid w:val="00AD3DD1"/>
    <w:rsid w:val="00AD4EC1"/>
    <w:rsid w:val="00AE689F"/>
    <w:rsid w:val="00B55C37"/>
    <w:rsid w:val="00BC20E3"/>
    <w:rsid w:val="00BE4C08"/>
    <w:rsid w:val="00C42CAB"/>
    <w:rsid w:val="00CC7B5B"/>
    <w:rsid w:val="00D064AF"/>
    <w:rsid w:val="00D643C1"/>
    <w:rsid w:val="00DE4F00"/>
    <w:rsid w:val="00DF28D0"/>
    <w:rsid w:val="00E10516"/>
    <w:rsid w:val="00E24AA6"/>
    <w:rsid w:val="00E517E1"/>
    <w:rsid w:val="00E552FF"/>
    <w:rsid w:val="00E65317"/>
    <w:rsid w:val="00E667EB"/>
    <w:rsid w:val="00E80C0D"/>
    <w:rsid w:val="00ED4D63"/>
    <w:rsid w:val="00EE3B24"/>
    <w:rsid w:val="00EE6100"/>
    <w:rsid w:val="00EE67E7"/>
    <w:rsid w:val="00F00A70"/>
    <w:rsid w:val="00FE1893"/>
    <w:rsid w:val="122AF378"/>
    <w:rsid w:val="127E6544"/>
    <w:rsid w:val="141A35A5"/>
    <w:rsid w:val="147C1BA2"/>
    <w:rsid w:val="18DE2FCC"/>
    <w:rsid w:val="18EDA6C8"/>
    <w:rsid w:val="1B4C21CE"/>
    <w:rsid w:val="1CAAF625"/>
    <w:rsid w:val="3385476E"/>
    <w:rsid w:val="34724A39"/>
    <w:rsid w:val="352E2F59"/>
    <w:rsid w:val="3C841C46"/>
    <w:rsid w:val="3EBBE942"/>
    <w:rsid w:val="422A3A79"/>
    <w:rsid w:val="4735592B"/>
    <w:rsid w:val="61B5FAF1"/>
    <w:rsid w:val="6332E179"/>
    <w:rsid w:val="66EA2740"/>
    <w:rsid w:val="6E37F4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0937"/>
  <w15:chartTrackingRefBased/>
  <w15:docId w15:val="{3A99EBA0-C61A-4E57-B796-0A86F77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9A7"/>
    <w:pPr>
      <w:ind w:left="720"/>
      <w:contextualSpacing/>
    </w:pPr>
  </w:style>
  <w:style w:type="character" w:styleId="Hyperlink">
    <w:name w:val="Hyperlink"/>
    <w:basedOn w:val="DefaultParagraphFont"/>
    <w:uiPriority w:val="99"/>
    <w:unhideWhenUsed/>
    <w:rsid w:val="003E5EAA"/>
    <w:rPr>
      <w:color w:val="0563C1" w:themeColor="hyperlink"/>
      <w:u w:val="single"/>
    </w:rPr>
  </w:style>
  <w:style w:type="character" w:styleId="UnresolvedMention">
    <w:name w:val="Unresolved Mention"/>
    <w:basedOn w:val="DefaultParagraphFont"/>
    <w:uiPriority w:val="99"/>
    <w:semiHidden/>
    <w:unhideWhenUsed/>
    <w:rsid w:val="003E5EAA"/>
    <w:rPr>
      <w:color w:val="605E5C"/>
      <w:shd w:val="clear" w:color="auto" w:fill="E1DFDD"/>
    </w:rPr>
  </w:style>
  <w:style w:type="table" w:styleId="TableGrid">
    <w:name w:val="Table Grid"/>
    <w:basedOn w:val="TableNormal"/>
    <w:uiPriority w:val="39"/>
    <w:rsid w:val="00E66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643C1"/>
    <w:pPr>
      <w:spacing w:after="0" w:line="240" w:lineRule="auto"/>
    </w:pPr>
  </w:style>
  <w:style w:type="paragraph" w:styleId="CommentSubject">
    <w:name w:val="annotation subject"/>
    <w:basedOn w:val="CommentText"/>
    <w:next w:val="CommentText"/>
    <w:link w:val="CommentSubjectChar"/>
    <w:uiPriority w:val="99"/>
    <w:semiHidden/>
    <w:unhideWhenUsed/>
    <w:rsid w:val="009038B8"/>
    <w:rPr>
      <w:b/>
      <w:bCs/>
    </w:rPr>
  </w:style>
  <w:style w:type="character" w:customStyle="1" w:styleId="CommentSubjectChar">
    <w:name w:val="Comment Subject Char"/>
    <w:basedOn w:val="CommentTextChar"/>
    <w:link w:val="CommentSubject"/>
    <w:uiPriority w:val="99"/>
    <w:semiHidden/>
    <w:rsid w:val="009038B8"/>
    <w:rPr>
      <w:b/>
      <w:bCs/>
      <w:sz w:val="20"/>
      <w:szCs w:val="20"/>
    </w:rPr>
  </w:style>
  <w:style w:type="paragraph" w:styleId="BalloonText">
    <w:name w:val="Balloon Text"/>
    <w:basedOn w:val="Normal"/>
    <w:link w:val="BalloonTextChar"/>
    <w:uiPriority w:val="99"/>
    <w:semiHidden/>
    <w:unhideWhenUsed/>
    <w:rsid w:val="00E55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uring-scheme.org.uk/about/widening-access/" TargetMode="External"/><Relationship Id="rId4" Type="http://schemas.openxmlformats.org/officeDocument/2006/relationships/numbering" Target="numbering.xml"/><Relationship Id="rId9" Type="http://schemas.openxmlformats.org/officeDocument/2006/relationships/hyperlink" Target="https://www.turing-scheme.org.uk/cost-of-liv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3EEEE9591F4479B17D4E1D58D4842" ma:contentTypeVersion="14" ma:contentTypeDescription="Create a new document." ma:contentTypeScope="" ma:versionID="a7be48e31b0dd8ae4a42749933fdb2fb">
  <xsd:schema xmlns:xsd="http://www.w3.org/2001/XMLSchema" xmlns:xs="http://www.w3.org/2001/XMLSchema" xmlns:p="http://schemas.microsoft.com/office/2006/metadata/properties" xmlns:ns3="34608e2a-a1b9-4d9a-a165-3f3152441886" xmlns:ns4="e1af0188-f0df-4c8f-91d9-9570df9ae30e" targetNamespace="http://schemas.microsoft.com/office/2006/metadata/properties" ma:root="true" ma:fieldsID="c4f9fca15af1aa6a15a4554936631612" ns3:_="" ns4:_="">
    <xsd:import namespace="34608e2a-a1b9-4d9a-a165-3f3152441886"/>
    <xsd:import namespace="e1af0188-f0df-4c8f-91d9-9570df9ae3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8e2a-a1b9-4d9a-a165-3f3152441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f0188-f0df-4c8f-91d9-9570df9ae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4D82C-F9E2-46A0-87E8-7BF470DC72DA}">
  <ds:schemaRefs>
    <ds:schemaRef ds:uri="http://schemas.microsoft.com/sharepoint/v3/contenttype/forms"/>
  </ds:schemaRefs>
</ds:datastoreItem>
</file>

<file path=customXml/itemProps2.xml><?xml version="1.0" encoding="utf-8"?>
<ds:datastoreItem xmlns:ds="http://schemas.openxmlformats.org/officeDocument/2006/customXml" ds:itemID="{F76AE243-E95F-4803-88CC-B747F951C4EF}">
  <ds:schemaRefs>
    <ds:schemaRef ds:uri="http://schemas.microsoft.com/office/2006/documentManagement/types"/>
    <ds:schemaRef ds:uri="http://purl.org/dc/elements/1.1/"/>
    <ds:schemaRef ds:uri="e1af0188-f0df-4c8f-91d9-9570df9ae30e"/>
    <ds:schemaRef ds:uri="http://schemas.openxmlformats.org/package/2006/metadata/core-properties"/>
    <ds:schemaRef ds:uri="34608e2a-a1b9-4d9a-a165-3f3152441886"/>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BB90116-7121-4C0D-8FDE-6FE48F1D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8e2a-a1b9-4d9a-a165-3f3152441886"/>
    <ds:schemaRef ds:uri="e1af0188-f0df-4c8f-91d9-9570df9ae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Turing student-staff FAQs</dc:title>
  <dc:subject>
  </dc:subject>
  <dc:creator>Arthi Ayakkad Ramasubramanian</dc:creator>
  <cp:keywords>
  </cp:keywords>
  <dc:description>
  </dc:description>
  <cp:lastModifiedBy>Molly Raymer</cp:lastModifiedBy>
  <cp:revision>2</cp:revision>
  <dcterms:created xsi:type="dcterms:W3CDTF">2022-10-20T13:40:00Z</dcterms:created>
  <dcterms:modified xsi:type="dcterms:W3CDTF">2022-10-20T13:42:35Z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0x01010006B3EEEE9591F4479B17D4E1D58D4842</vt:lpwstr>
  </property>
</Properties>
</file>