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Project title</w:t>
      </w:r>
    </w:p>
    <w:p w:rsidRPr="00FC3628" w:rsidR="001C1380" w:rsidRDefault="001C1380">
      <w:pPr>
        <w:rPr>
          <w:rFonts w:cstheme="minorHAnsi"/>
          <w:sz w:val="24"/>
          <w:szCs w:val="24"/>
        </w:rPr>
      </w:pPr>
      <w:r w:rsidRPr="00FC3628">
        <w:rPr>
          <w:rFonts w:cstheme="minorHAnsi"/>
          <w:bCs/>
          <w:sz w:val="24"/>
          <w:szCs w:val="24"/>
        </w:rPr>
        <w:t>Investigating neutrophils in Tuberculosis-associated fibrosis</w:t>
      </w:r>
    </w:p>
    <w:p w:rsidRPr="00FC3628" w:rsidR="00030B65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About the project</w:t>
      </w:r>
    </w:p>
    <w:p w:rsidR="001C1380" w:rsidP="001C1380" w:rsidRDefault="001C13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C3628">
        <w:rPr>
          <w:rFonts w:cstheme="minorHAnsi"/>
          <w:sz w:val="24"/>
          <w:szCs w:val="24"/>
        </w:rPr>
        <w:t>Tuberculosis (TB) is one of the of the most prevalent and lethal infectious diseases worldwide</w:t>
      </w:r>
      <w:r w:rsidRPr="00FC3628" w:rsidR="00C13A7F">
        <w:rPr>
          <w:rFonts w:cstheme="minorHAnsi"/>
          <w:sz w:val="24"/>
          <w:szCs w:val="24"/>
        </w:rPr>
        <w:t xml:space="preserve">, with an estimated 10 million people infected with </w:t>
      </w:r>
      <w:r w:rsidRPr="00FC3628" w:rsidR="00C13A7F">
        <w:rPr>
          <w:rFonts w:cstheme="minorHAnsi"/>
          <w:bCs/>
          <w:i/>
          <w:sz w:val="24"/>
          <w:szCs w:val="24"/>
          <w:lang w:val="en-US"/>
        </w:rPr>
        <w:t>Mycobacterium tuberculosis</w:t>
      </w:r>
      <w:r w:rsidRPr="00FC3628" w:rsidR="00C13A7F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FC3628" w:rsidR="00C13A7F">
        <w:rPr>
          <w:rFonts w:cstheme="minorHAnsi"/>
          <w:bCs/>
          <w:sz w:val="24"/>
          <w:szCs w:val="24"/>
          <w:lang w:val="en-US"/>
        </w:rPr>
        <w:t>Mtb</w:t>
      </w:r>
      <w:proofErr w:type="spellEnd"/>
      <w:r w:rsidRPr="00FC3628" w:rsidR="00C13A7F">
        <w:rPr>
          <w:rFonts w:cstheme="minorHAnsi"/>
          <w:bCs/>
          <w:sz w:val="24"/>
          <w:szCs w:val="24"/>
          <w:lang w:val="en-US"/>
        </w:rPr>
        <w:t>), the causative agent of TB.  Despite successful treatment of TB with antibiotics, up to 94% of recovered patients develop permanent lung abnormalities such as lung fibrosis.  This fibrotic process leads to the destruction of the lung, difficulties in breathing and ultimately shortened life expectancy</w:t>
      </w:r>
      <w:r w:rsidRPr="00FC3628" w:rsidR="00C13A7F">
        <w:rPr>
          <w:rFonts w:cstheme="minorHAnsi"/>
          <w:sz w:val="24"/>
          <w:szCs w:val="24"/>
        </w:rPr>
        <w:t xml:space="preserve">.  </w:t>
      </w:r>
      <w:r w:rsidRPr="00FC3628">
        <w:rPr>
          <w:rFonts w:cstheme="minorHAnsi"/>
          <w:sz w:val="24"/>
          <w:szCs w:val="24"/>
        </w:rPr>
        <w:t xml:space="preserve">The mechanisms behind TB-associated fibrosis are poorly understood and there is a lack of host-directed therapies to aid recovery. Neutrophils are key immune cells recruited during </w:t>
      </w:r>
      <w:r w:rsidRPr="00FC3628" w:rsidR="00C13A7F">
        <w:rPr>
          <w:rFonts w:cstheme="minorHAnsi"/>
          <w:sz w:val="24"/>
          <w:szCs w:val="24"/>
        </w:rPr>
        <w:t xml:space="preserve"> </w:t>
      </w:r>
      <w:proofErr w:type="spellStart"/>
      <w:r w:rsidRPr="00FC3628" w:rsidR="00C13A7F">
        <w:rPr>
          <w:rFonts w:cstheme="minorHAnsi"/>
          <w:sz w:val="24"/>
          <w:szCs w:val="24"/>
        </w:rPr>
        <w:t>Mtb</w:t>
      </w:r>
      <w:proofErr w:type="spellEnd"/>
      <w:r w:rsidRPr="00FC3628">
        <w:rPr>
          <w:rFonts w:cstheme="minorHAnsi"/>
          <w:sz w:val="24"/>
          <w:szCs w:val="24"/>
        </w:rPr>
        <w:t xml:space="preserve"> infection and have also been shown to promote fibrosis in other fibrotic lung diseases. The aim of this PhD studentship is to define the role of neutrophils in TB-associated fibrosis and identify new anti-fibrotic therapeutic targets. This will be achieved through a combination of novel </w:t>
      </w:r>
      <w:r w:rsidRPr="00FC3628">
        <w:rPr>
          <w:rFonts w:cstheme="minorHAnsi"/>
          <w:i/>
          <w:sz w:val="24"/>
          <w:szCs w:val="24"/>
        </w:rPr>
        <w:t>in vitro</w:t>
      </w:r>
      <w:r w:rsidRPr="00FC3628">
        <w:rPr>
          <w:rFonts w:cstheme="minorHAnsi"/>
          <w:sz w:val="24"/>
          <w:szCs w:val="24"/>
        </w:rPr>
        <w:t xml:space="preserve"> cell culture systems, </w:t>
      </w:r>
      <w:r w:rsidRPr="00FC3628">
        <w:rPr>
          <w:rFonts w:cstheme="minorHAnsi"/>
          <w:i/>
          <w:sz w:val="24"/>
          <w:szCs w:val="24"/>
        </w:rPr>
        <w:t>in vivo</w:t>
      </w:r>
      <w:r w:rsidRPr="00FC3628">
        <w:rPr>
          <w:rFonts w:cstheme="minorHAnsi"/>
          <w:sz w:val="24"/>
          <w:szCs w:val="24"/>
        </w:rPr>
        <w:t xml:space="preserve"> animal models of TB </w:t>
      </w:r>
      <w:r w:rsidRPr="00FC3628">
        <w:rPr>
          <w:rFonts w:cstheme="minorHAnsi"/>
          <w:color w:val="000000" w:themeColor="text1"/>
          <w:sz w:val="24"/>
          <w:szCs w:val="24"/>
        </w:rPr>
        <w:t xml:space="preserve">infection and may include </w:t>
      </w:r>
      <w:r w:rsidRPr="00FC3628">
        <w:rPr>
          <w:rFonts w:cstheme="minorHAnsi"/>
          <w:i/>
          <w:color w:val="000000" w:themeColor="text1"/>
          <w:sz w:val="24"/>
          <w:szCs w:val="24"/>
        </w:rPr>
        <w:t>ex vivo</w:t>
      </w:r>
      <w:r w:rsidRPr="00FC3628">
        <w:rPr>
          <w:rFonts w:cstheme="minorHAnsi"/>
          <w:color w:val="000000" w:themeColor="text1"/>
          <w:sz w:val="24"/>
          <w:szCs w:val="24"/>
        </w:rPr>
        <w:t xml:space="preserve"> analysis of neutrophils from TB patients.</w:t>
      </w:r>
    </w:p>
    <w:p w:rsidR="00FC3628" w:rsidP="001C1380" w:rsidRDefault="00FC362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Pr="00FC3628" w:rsidR="00FC3628" w:rsidP="001C1380" w:rsidRDefault="00FC362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full supervisory team will consist of Professor Jon Friedland, Dr Deborah Chong and Dr Rajko Reljic.</w:t>
      </w:r>
    </w:p>
    <w:p w:rsidRPr="00FC3628" w:rsidR="00C13A7F" w:rsidRDefault="00C13A7F">
      <w:pPr>
        <w:rPr>
          <w:rFonts w:cstheme="minorHAnsi"/>
          <w:b/>
          <w:sz w:val="24"/>
          <w:szCs w:val="24"/>
        </w:rPr>
      </w:pPr>
    </w:p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Skills development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3628">
        <w:rPr>
          <w:rFonts w:cstheme="minorHAnsi"/>
          <w:color w:val="000000" w:themeColor="text1"/>
          <w:sz w:val="24"/>
          <w:szCs w:val="24"/>
        </w:rPr>
        <w:t>The student will be trained in various aspects focused towards studying immunological and fibrotic responses.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>Specific techniques that the student will acquire include: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>(i) cell biology techniques including cell culture of primary fibroblasts, neutrophil isolation from blood, functional assays such as cell proliferation, differentiation and collagen deposition.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 xml:space="preserve">(ii) biochemical techniques including Western blot, qPCR and </w:t>
      </w:r>
      <w:r w:rsidRPr="00FC3628">
        <w:rPr>
          <w:rFonts w:cstheme="minorHAnsi"/>
          <w:bCs/>
          <w:iCs/>
          <w:sz w:val="24"/>
          <w:szCs w:val="24"/>
        </w:rPr>
        <w:t>immunofluorescence microscopy.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>(iii) immunological techniques including processing human blood, flow cytometry and ELISA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 xml:space="preserve">(iv) microbiology techniques including culturing </w:t>
      </w:r>
      <w:proofErr w:type="spellStart"/>
      <w:r w:rsidRPr="00FC3628">
        <w:rPr>
          <w:rFonts w:cstheme="minorHAnsi"/>
          <w:sz w:val="24"/>
          <w:szCs w:val="24"/>
        </w:rPr>
        <w:t>Mtb</w:t>
      </w:r>
      <w:proofErr w:type="spellEnd"/>
      <w:r w:rsidRPr="00FC3628">
        <w:rPr>
          <w:rFonts w:cstheme="minorHAnsi"/>
          <w:sz w:val="24"/>
          <w:szCs w:val="24"/>
        </w:rPr>
        <w:t xml:space="preserve"> (category 3 pathogen)</w:t>
      </w:r>
    </w:p>
    <w:p w:rsidRPr="00FC3628" w:rsidR="001C1380" w:rsidP="001C1380" w:rsidRDefault="001C1380">
      <w:pPr>
        <w:widowControl w:val="0"/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C3628">
        <w:rPr>
          <w:rFonts w:cstheme="minorHAnsi"/>
          <w:color w:val="000000" w:themeColor="text1"/>
          <w:sz w:val="24"/>
          <w:szCs w:val="24"/>
        </w:rPr>
        <w:t xml:space="preserve">(iv) </w:t>
      </w:r>
      <w:r w:rsidRPr="00FC3628">
        <w:rPr>
          <w:rFonts w:cstheme="minorHAnsi"/>
          <w:i/>
          <w:color w:val="000000" w:themeColor="text1"/>
          <w:sz w:val="24"/>
          <w:szCs w:val="24"/>
        </w:rPr>
        <w:t>in vivo</w:t>
      </w:r>
      <w:r w:rsidRPr="00FC3628">
        <w:rPr>
          <w:rFonts w:cstheme="minorHAnsi"/>
          <w:color w:val="000000" w:themeColor="text1"/>
          <w:sz w:val="24"/>
          <w:szCs w:val="24"/>
        </w:rPr>
        <w:t xml:space="preserve"> animal model of TB, where the student will be required to obtain an animal licence (training will be provided).</w:t>
      </w:r>
    </w:p>
    <w:p w:rsidR="00FC3628" w:rsidRDefault="00FC3628">
      <w:pPr>
        <w:rPr>
          <w:rFonts w:cstheme="minorHAnsi"/>
          <w:b/>
          <w:sz w:val="24"/>
          <w:szCs w:val="24"/>
        </w:rPr>
      </w:pPr>
    </w:p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Funding notes</w:t>
      </w:r>
    </w:p>
    <w:p w:rsidRPr="00FC3628" w:rsidR="00C13A7F" w:rsidRDefault="00C13A7F">
      <w:pPr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t>You will have a minimum of a 2:1 or equivalent in your first degree. A Master’s qualification in an appropriate discipline will be a distinct advantage.</w:t>
      </w:r>
    </w:p>
    <w:p w:rsidRPr="00FC3628" w:rsidR="00C13A7F" w:rsidRDefault="00C13A7F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sz w:val="24"/>
          <w:szCs w:val="24"/>
        </w:rPr>
        <w:t xml:space="preserve">You will have excellent written and verbal communication skills in English. Applicants whose first language is not English are expected to meet the </w:t>
      </w:r>
      <w:hyperlink w:history="1" r:id="rId4">
        <w:r w:rsidRPr="00FC3628">
          <w:rPr>
            <w:rStyle w:val="Hyperlink"/>
            <w:rFonts w:cstheme="minorHAnsi"/>
            <w:sz w:val="24"/>
            <w:szCs w:val="24"/>
          </w:rPr>
          <w:t>minimum University</w:t>
        </w:r>
      </w:hyperlink>
      <w:r w:rsidRPr="00FC3628">
        <w:rPr>
          <w:rFonts w:cstheme="minorHAnsi"/>
          <w:sz w:val="24"/>
          <w:szCs w:val="24"/>
        </w:rPr>
        <w:t xml:space="preserve"> requirements for postgraduate studies e.g. 6.5 </w:t>
      </w:r>
      <w:hyperlink w:history="1" r:id="rId5">
        <w:r w:rsidRPr="00FC3628">
          <w:rPr>
            <w:rStyle w:val="Hyperlink"/>
            <w:rFonts w:cstheme="minorHAnsi"/>
            <w:sz w:val="24"/>
            <w:szCs w:val="24"/>
          </w:rPr>
          <w:t>IELTS</w:t>
        </w:r>
      </w:hyperlink>
      <w:r w:rsidRPr="00FC3628">
        <w:rPr>
          <w:rFonts w:cstheme="minorHAnsi"/>
          <w:sz w:val="24"/>
          <w:szCs w:val="24"/>
        </w:rPr>
        <w:t xml:space="preserve">, with higher scores being a distinct advantage. </w:t>
      </w:r>
    </w:p>
    <w:p w:rsidRPr="00FC3628" w:rsidR="001C1380" w:rsidRDefault="001C1380">
      <w:pPr>
        <w:rPr>
          <w:rFonts w:cstheme="minorHAnsi"/>
          <w:sz w:val="24"/>
          <w:szCs w:val="24"/>
        </w:rPr>
      </w:pPr>
      <w:r w:rsidRPr="00FC3628">
        <w:rPr>
          <w:rFonts w:cstheme="minorHAnsi"/>
          <w:sz w:val="24"/>
          <w:szCs w:val="24"/>
        </w:rPr>
        <w:lastRenderedPageBreak/>
        <w:t xml:space="preserve">Students will receive a stipend and will have three years of fees paid for them. </w:t>
      </w:r>
      <w:r w:rsidRPr="00FC3628" w:rsidR="00C13A7F">
        <w:rPr>
          <w:rFonts w:cstheme="minorHAnsi"/>
          <w:sz w:val="24"/>
          <w:szCs w:val="24"/>
        </w:rPr>
        <w:t>This fully-funded PhD studentship is open to UK</w:t>
      </w:r>
      <w:r w:rsidR="00FC3628">
        <w:rPr>
          <w:rFonts w:cstheme="minorHAnsi"/>
          <w:sz w:val="24"/>
          <w:szCs w:val="24"/>
        </w:rPr>
        <w:t>/EU</w:t>
      </w:r>
      <w:r w:rsidRPr="00FC3628" w:rsidR="00C13A7F">
        <w:rPr>
          <w:rFonts w:cstheme="minorHAnsi"/>
          <w:sz w:val="24"/>
          <w:szCs w:val="24"/>
        </w:rPr>
        <w:t xml:space="preserve"> students</w:t>
      </w:r>
      <w:r w:rsidR="00FC3628">
        <w:rPr>
          <w:rFonts w:cstheme="minorHAnsi"/>
          <w:sz w:val="24"/>
          <w:szCs w:val="24"/>
        </w:rPr>
        <w:t xml:space="preserve"> only</w:t>
      </w:r>
    </w:p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References</w:t>
      </w:r>
    </w:p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How to apply</w:t>
      </w:r>
    </w:p>
    <w:p w:rsidRPr="00FC3628" w:rsidR="001C1380" w:rsidRDefault="00906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the application form and ask your referees to complete the reference form</w:t>
      </w:r>
      <w:r w:rsidRPr="00FC3628" w:rsidR="001C1380">
        <w:rPr>
          <w:rFonts w:cstheme="minorHAnsi"/>
          <w:sz w:val="24"/>
          <w:szCs w:val="24"/>
        </w:rPr>
        <w:t xml:space="preserve"> </w:t>
      </w:r>
      <w:r w:rsidRPr="00FC3628" w:rsidR="00B450AE">
        <w:rPr>
          <w:rFonts w:cstheme="minorHAnsi"/>
          <w:sz w:val="24"/>
          <w:szCs w:val="24"/>
        </w:rPr>
        <w:t xml:space="preserve">  All forms should then be returned to </w:t>
      </w:r>
      <w:hyperlink w:history="1" r:id="rId6">
        <w:r w:rsidRPr="006E26DB">
          <w:rPr>
            <w:rStyle w:val="Hyperlink"/>
            <w:rFonts w:cstheme="minorHAnsi"/>
            <w:sz w:val="24"/>
            <w:szCs w:val="24"/>
          </w:rPr>
          <w:t>researchdegress@sgul.ac.uk</w:t>
        </w:r>
      </w:hyperlink>
      <w:r>
        <w:rPr>
          <w:rFonts w:cstheme="minorHAnsi"/>
          <w:sz w:val="24"/>
          <w:szCs w:val="24"/>
        </w:rPr>
        <w:t xml:space="preserve"> </w:t>
      </w:r>
      <w:r w:rsidRPr="00FC3628" w:rsidR="00B450AE"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sz w:val="24"/>
          <w:szCs w:val="24"/>
        </w:rPr>
        <w:t>Sunday 9</w:t>
      </w:r>
      <w:r w:rsidRPr="0090678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August. </w:t>
      </w:r>
    </w:p>
    <w:p w:rsidRPr="00FC3628" w:rsidR="001C1380" w:rsidRDefault="001C1380">
      <w:pPr>
        <w:rPr>
          <w:rFonts w:cstheme="minorHAnsi"/>
          <w:b/>
          <w:sz w:val="24"/>
          <w:szCs w:val="24"/>
        </w:rPr>
      </w:pPr>
      <w:r w:rsidRPr="00FC3628">
        <w:rPr>
          <w:rFonts w:cstheme="minorHAnsi"/>
          <w:b/>
          <w:sz w:val="24"/>
          <w:szCs w:val="24"/>
        </w:rPr>
        <w:t>Contact for information</w:t>
      </w:r>
    </w:p>
    <w:p w:rsidRPr="00FC3628" w:rsidR="001C1380" w:rsidP="001C1380" w:rsidRDefault="001C1380">
      <w:pPr>
        <w:pStyle w:val="arial55"/>
        <w:tabs>
          <w:tab w:val="left" w:pos="1701"/>
        </w:tabs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C3628">
        <w:rPr>
          <w:rFonts w:asciiTheme="minorHAnsi" w:hAnsiTheme="minorHAnsi" w:cstheme="minorHAnsi"/>
          <w:sz w:val="24"/>
          <w:szCs w:val="24"/>
        </w:rPr>
        <w:t xml:space="preserve">Dr Deborah Chong - </w:t>
      </w:r>
      <w:hyperlink w:history="1" r:id="rId7">
        <w:r w:rsidRPr="00FC3628" w:rsidR="00B450AE">
          <w:rPr>
            <w:rStyle w:val="Hyperlink"/>
            <w:rFonts w:asciiTheme="minorHAnsi" w:hAnsiTheme="minorHAnsi" w:cstheme="minorHAnsi"/>
            <w:sz w:val="24"/>
            <w:szCs w:val="24"/>
          </w:rPr>
          <w:t>dchong@sgul.ac.uk</w:t>
        </w:r>
      </w:hyperlink>
      <w:r w:rsidRPr="00FC3628" w:rsidR="00B450AE">
        <w:rPr>
          <w:rFonts w:asciiTheme="minorHAnsi" w:hAnsiTheme="minorHAnsi" w:cstheme="minorHAnsi"/>
          <w:sz w:val="24"/>
          <w:szCs w:val="24"/>
        </w:rPr>
        <w:tab/>
      </w:r>
    </w:p>
    <w:p w:rsidRPr="00FC3628" w:rsidR="001C1380" w:rsidRDefault="001C1380">
      <w:pPr>
        <w:rPr>
          <w:rFonts w:cstheme="minorHAnsi"/>
          <w:sz w:val="24"/>
          <w:szCs w:val="24"/>
        </w:rPr>
      </w:pPr>
      <w:bookmarkStart w:name="_GoBack" w:id="0"/>
      <w:bookmarkEnd w:id="0"/>
    </w:p>
    <w:sectPr w:rsidRPr="00FC3628" w:rsidR="001C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80"/>
    <w:rsid w:val="00030B65"/>
    <w:rsid w:val="001C1380"/>
    <w:rsid w:val="0090678E"/>
    <w:rsid w:val="00B450AE"/>
    <w:rsid w:val="00C13A7F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B6CB"/>
  <w15:chartTrackingRefBased/>
  <w15:docId w15:val="{6C904EE8-7F82-4D0D-94AA-5A0E3B17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1C1380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1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C1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hong@sg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ss@sgul.ac.uk" TargetMode="External"/><Relationship Id="rId5" Type="http://schemas.openxmlformats.org/officeDocument/2006/relationships/hyperlink" Target="https://www.ielts.org/about-the-test/how-ielts-is-scored" TargetMode="External"/><Relationship Id="rId4" Type="http://schemas.openxmlformats.org/officeDocument/2006/relationships/hyperlink" Target="https://www.sgul.ac.uk/study/life-at-st-georges/international-student-support/english-language-requirem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details - Chong October 2020</dc:title>
  <dc:subject>
  </dc:subject>
  <dc:creator>Derilyn Frusher</dc:creator>
  <cp:keywords>
  </cp:keywords>
  <dc:description>
  </dc:description>
  <cp:lastModifiedBy>Sebastian</cp:lastModifiedBy>
  <cp:revision>3</cp:revision>
  <dcterms:created xsi:type="dcterms:W3CDTF">2020-07-23T09:59:00Z</dcterms:created>
  <dcterms:modified xsi:type="dcterms:W3CDTF">2020-07-24T13:32:57Z</dcterms:modified>
</cp:coreProperties>
</file>