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395" w:rsidP="005E79B9" w:rsidRDefault="005E79B9" w14:paraId="2FBE6CBC" w14:textId="086BF063">
      <w:pPr>
        <w:pStyle w:val="Heading1"/>
      </w:pPr>
      <w:proofErr w:type="spellStart"/>
      <w:r>
        <w:t>Unitu</w:t>
      </w:r>
      <w:proofErr w:type="spellEnd"/>
      <w:r>
        <w:t xml:space="preserve"> Summary Report </w:t>
      </w:r>
      <w:r w:rsidR="00943D63">
        <w:t>2020-2021</w:t>
      </w:r>
    </w:p>
    <w:p w:rsidR="005E79B9" w:rsidP="005E79B9" w:rsidRDefault="005E79B9" w14:paraId="672A6659" w14:textId="77777777"/>
    <w:p w:rsidR="009815ED" w:rsidP="005E79B9" w:rsidRDefault="6317FAC9" w14:paraId="778F75B9" w14:textId="0B09D415">
      <w:r>
        <w:t xml:space="preserve">This report documents </w:t>
      </w:r>
      <w:proofErr w:type="spellStart"/>
      <w:r>
        <w:t>Unitu</w:t>
      </w:r>
      <w:proofErr w:type="spellEnd"/>
      <w:r>
        <w:t xml:space="preserve"> activity </w:t>
      </w:r>
      <w:r w:rsidR="00D3518E">
        <w:t>over the course of the</w:t>
      </w:r>
      <w:r>
        <w:t xml:space="preserve"> 2020-2021 academic year</w:t>
      </w:r>
      <w:r w:rsidR="50F1818D">
        <w:t xml:space="preserve">, with a particular focus on </w:t>
      </w:r>
      <w:r w:rsidR="00326196">
        <w:t>five</w:t>
      </w:r>
      <w:r w:rsidR="50F1818D">
        <w:t xml:space="preserve"> core areas:</w:t>
      </w:r>
    </w:p>
    <w:p w:rsidR="009815ED" w:rsidP="005E79B9" w:rsidRDefault="009815ED" w14:paraId="0A37501D" w14:textId="77777777"/>
    <w:p w:rsidR="009815ED" w:rsidP="009815ED" w:rsidRDefault="009815ED" w14:paraId="08A0F0F4" w14:textId="77777777">
      <w:pPr>
        <w:pStyle w:val="ListParagraph"/>
        <w:numPr>
          <w:ilvl w:val="0"/>
          <w:numId w:val="1"/>
        </w:numPr>
      </w:pPr>
      <w:r>
        <w:t>Engagement data</w:t>
      </w:r>
    </w:p>
    <w:p w:rsidR="009815ED" w:rsidP="009815ED" w:rsidRDefault="00A92900" w14:paraId="10063783" w14:textId="77777777">
      <w:pPr>
        <w:pStyle w:val="ListParagraph"/>
        <w:numPr>
          <w:ilvl w:val="0"/>
          <w:numId w:val="1"/>
        </w:numPr>
      </w:pPr>
      <w:proofErr w:type="spellStart"/>
      <w:r>
        <w:t>Unitu</w:t>
      </w:r>
      <w:proofErr w:type="spellEnd"/>
      <w:r>
        <w:t xml:space="preserve"> posts increasing the visibility of student perspectives</w:t>
      </w:r>
    </w:p>
    <w:p w:rsidR="00A92900" w:rsidP="009815ED" w:rsidRDefault="00A92900" w14:paraId="19FDC790" w14:textId="77777777">
      <w:pPr>
        <w:pStyle w:val="ListParagraph"/>
        <w:numPr>
          <w:ilvl w:val="0"/>
          <w:numId w:val="1"/>
        </w:numPr>
      </w:pPr>
      <w:r>
        <w:t>Student-Staff Partnership Grant update</w:t>
      </w:r>
    </w:p>
    <w:p w:rsidR="00A92900" w:rsidP="009815ED" w:rsidRDefault="00A92900" w14:paraId="3930324F" w14:textId="77777777">
      <w:pPr>
        <w:pStyle w:val="ListParagraph"/>
        <w:numPr>
          <w:ilvl w:val="0"/>
          <w:numId w:val="1"/>
        </w:numPr>
      </w:pPr>
      <w:r>
        <w:t>Staff feedback</w:t>
      </w:r>
    </w:p>
    <w:p w:rsidRPr="00D3518E" w:rsidR="12D3436F" w:rsidP="392A6AED" w:rsidRDefault="00031176" w14:paraId="24456583" w14:textId="13E96636">
      <w:pPr>
        <w:pStyle w:val="ListParagraph"/>
        <w:numPr>
          <w:ilvl w:val="0"/>
          <w:numId w:val="1"/>
        </w:numPr>
      </w:pPr>
      <w:r>
        <w:t xml:space="preserve">Summary </w:t>
      </w:r>
    </w:p>
    <w:p w:rsidR="00A92900" w:rsidP="392A6AED" w:rsidRDefault="5F795211" w14:paraId="1AA04908" w14:textId="337344C5">
      <w:pPr>
        <w:pStyle w:val="Heading1"/>
        <w:rPr>
          <w:b/>
          <w:bCs/>
          <w:color w:val="FF0000"/>
        </w:rPr>
      </w:pPr>
      <w:r>
        <w:t>Engagement data</w:t>
      </w:r>
      <w:r w:rsidR="29A9586A">
        <w:t xml:space="preserve"> </w:t>
      </w:r>
    </w:p>
    <w:p w:rsidR="00061EF6" w:rsidP="00061EF6" w:rsidRDefault="00061EF6" w14:paraId="02EB378F" w14:textId="77777777"/>
    <w:p w:rsidR="00061EF6" w:rsidP="00061EF6" w:rsidRDefault="29A9586A" w14:paraId="0A3B9F0A" w14:textId="3C3479BF">
      <w:r>
        <w:t>This section highlights levels of engagement over the course of this academic year.</w:t>
      </w:r>
      <w:r w:rsidR="1B03BA21">
        <w:t xml:space="preserve"> The data below is taken from Week </w:t>
      </w:r>
      <w:proofErr w:type="spellStart"/>
      <w:r w:rsidR="00AB73B2">
        <w:t>Fourty</w:t>
      </w:r>
      <w:proofErr w:type="spellEnd"/>
      <w:r w:rsidR="00AB73B2">
        <w:t>-Five</w:t>
      </w:r>
      <w:r w:rsidR="1B03BA21">
        <w:t xml:space="preserve"> (</w:t>
      </w:r>
      <w:r w:rsidR="00AB73B2">
        <w:t>20</w:t>
      </w:r>
      <w:r w:rsidRPr="00AB73B2" w:rsidR="00AB73B2">
        <w:rPr>
          <w:vertAlign w:val="superscript"/>
        </w:rPr>
        <w:t>th</w:t>
      </w:r>
      <w:r w:rsidR="00AB73B2">
        <w:t xml:space="preserve"> August</w:t>
      </w:r>
      <w:r w:rsidR="1B03BA21">
        <w:t xml:space="preserve"> 2021). </w:t>
      </w:r>
    </w:p>
    <w:p w:rsidR="004A43A7" w:rsidP="00061EF6" w:rsidRDefault="004A43A7" w14:paraId="6A05A809" w14:textId="77777777"/>
    <w:p w:rsidR="004A43A7" w:rsidP="392A6AED" w:rsidRDefault="388AD540" w14:paraId="7C2607A0" w14:textId="2BC85BB2">
      <w:pPr>
        <w:rPr>
          <w:b/>
          <w:bCs/>
          <w:color w:val="FF0000"/>
        </w:rPr>
      </w:pPr>
      <w:r w:rsidRPr="392A6AED">
        <w:rPr>
          <w:b/>
          <w:bCs/>
        </w:rPr>
        <w:t xml:space="preserve">Posts by board </w:t>
      </w:r>
    </w:p>
    <w:p w:rsidR="004A43A7" w:rsidP="00061EF6" w:rsidRDefault="004A43A7" w14:paraId="5A39BBE3" w14:textId="77777777">
      <w:pPr>
        <w:rPr>
          <w:b/>
        </w:rPr>
      </w:pPr>
    </w:p>
    <w:p w:rsidR="004A43A7" w:rsidP="392A6AED" w:rsidRDefault="00D3518E" w14:paraId="41C8F396" w14:textId="4F1A5033">
      <w:r>
        <w:rPr>
          <w:noProof/>
        </w:rPr>
        <w:drawing>
          <wp:inline distT="0" distB="0" distL="0" distR="0" wp14:anchorId="3F839A6E" wp14:editId="36C84900">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A43A7" w:rsidP="00061EF6" w:rsidRDefault="004A43A7" w14:paraId="72A3D3EC" w14:textId="77777777">
      <w:pPr>
        <w:rPr>
          <w:b/>
        </w:rPr>
      </w:pPr>
    </w:p>
    <w:p w:rsidRPr="00D22E64" w:rsidR="004A43A7" w:rsidP="004A43A7" w:rsidRDefault="00D3518E" w14:paraId="71FF0C21" w14:textId="7A68A1CF">
      <w:r>
        <w:t>619</w:t>
      </w:r>
      <w:r w:rsidR="388AD540">
        <w:t xml:space="preserve"> posts have been created by staff, students and Year Reps this academic year. The </w:t>
      </w:r>
      <w:r w:rsidR="3FA2D234">
        <w:t>majority of posts have been on the Medicine board.</w:t>
      </w:r>
      <w:r w:rsidR="388AD540">
        <w:t xml:space="preserve"> (</w:t>
      </w:r>
      <w:r>
        <w:t>351</w:t>
      </w:r>
      <w:r w:rsidR="388AD540">
        <w:t xml:space="preserve"> posts/5</w:t>
      </w:r>
      <w:r>
        <w:t>7</w:t>
      </w:r>
      <w:r w:rsidR="388AD540">
        <w:t>%).</w:t>
      </w:r>
    </w:p>
    <w:p w:rsidR="004A43A7" w:rsidP="392A6AED" w:rsidRDefault="004A43A7" w14:paraId="0E27B00A" w14:textId="5E916E7B">
      <w:pPr>
        <w:rPr>
          <w:b/>
          <w:bCs/>
        </w:rPr>
      </w:pPr>
    </w:p>
    <w:p w:rsidR="00D3518E" w:rsidP="392A6AED" w:rsidRDefault="00D3518E" w14:paraId="7277EC88" w14:textId="77777777">
      <w:pPr>
        <w:rPr>
          <w:b/>
          <w:bCs/>
        </w:rPr>
      </w:pPr>
    </w:p>
    <w:p w:rsidR="00D3518E" w:rsidP="392A6AED" w:rsidRDefault="00D3518E" w14:paraId="646B6551" w14:textId="77777777">
      <w:pPr>
        <w:rPr>
          <w:b/>
          <w:bCs/>
        </w:rPr>
      </w:pPr>
    </w:p>
    <w:p w:rsidR="00D3518E" w:rsidP="392A6AED" w:rsidRDefault="00D3518E" w14:paraId="2B3977B7" w14:textId="77777777">
      <w:pPr>
        <w:rPr>
          <w:b/>
          <w:bCs/>
        </w:rPr>
      </w:pPr>
    </w:p>
    <w:p w:rsidR="00D3518E" w:rsidP="392A6AED" w:rsidRDefault="00D3518E" w14:paraId="14F06850" w14:textId="77777777">
      <w:pPr>
        <w:rPr>
          <w:b/>
          <w:bCs/>
        </w:rPr>
      </w:pPr>
    </w:p>
    <w:p w:rsidR="00464328" w:rsidP="392A6AED" w:rsidRDefault="00464328" w14:paraId="217E0A80" w14:textId="77777777">
      <w:pPr>
        <w:rPr>
          <w:b/>
          <w:bCs/>
        </w:rPr>
      </w:pPr>
    </w:p>
    <w:p w:rsidR="00464328" w:rsidP="392A6AED" w:rsidRDefault="00464328" w14:paraId="02312C3A" w14:textId="77777777">
      <w:pPr>
        <w:rPr>
          <w:b/>
          <w:bCs/>
        </w:rPr>
      </w:pPr>
    </w:p>
    <w:p w:rsidR="004A43A7" w:rsidP="392A6AED" w:rsidRDefault="388AD540" w14:paraId="46CF997C" w14:textId="7B658F23">
      <w:pPr>
        <w:rPr>
          <w:b/>
          <w:bCs/>
          <w:color w:val="FF0000"/>
        </w:rPr>
      </w:pPr>
      <w:r w:rsidRPr="392A6AED">
        <w:rPr>
          <w:b/>
          <w:bCs/>
        </w:rPr>
        <w:lastRenderedPageBreak/>
        <w:t xml:space="preserve">Total Views </w:t>
      </w:r>
    </w:p>
    <w:p w:rsidR="004A43A7" w:rsidP="00061EF6" w:rsidRDefault="004A43A7" w14:paraId="60061E4C" w14:textId="77777777">
      <w:pPr>
        <w:rPr>
          <w:b/>
        </w:rPr>
      </w:pPr>
    </w:p>
    <w:p w:rsidR="004A43A7" w:rsidP="392A6AED" w:rsidRDefault="007D0482" w14:paraId="44EAFD9C" w14:textId="2913BFFF">
      <w:r>
        <w:rPr>
          <w:b/>
          <w:noProof/>
        </w:rPr>
        <w:drawing>
          <wp:inline distT="0" distB="0" distL="0" distR="0" wp14:anchorId="75B95607" wp14:editId="622633D1">
            <wp:extent cx="5686425" cy="34194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A43A7" w:rsidP="00061EF6" w:rsidRDefault="004A43A7" w14:paraId="4B94D5A5" w14:textId="77777777">
      <w:pPr>
        <w:rPr>
          <w:b/>
        </w:rPr>
      </w:pPr>
    </w:p>
    <w:p w:rsidRPr="004A43A7" w:rsidR="004A43A7" w:rsidP="00061EF6" w:rsidRDefault="388AD540" w14:paraId="54F14D43" w14:textId="32BACC23">
      <w:r>
        <w:t xml:space="preserve">Posts have been viewed </w:t>
      </w:r>
      <w:r w:rsidR="007D0482">
        <w:t>76,906</w:t>
      </w:r>
      <w:r>
        <w:t xml:space="preserve"> times on </w:t>
      </w:r>
      <w:proofErr w:type="spellStart"/>
      <w:r>
        <w:t>Unitu</w:t>
      </w:r>
      <w:proofErr w:type="spellEnd"/>
      <w:r>
        <w:t xml:space="preserve">. This figure represents ‘unique </w:t>
      </w:r>
      <w:proofErr w:type="gramStart"/>
      <w:r>
        <w:t>views’</w:t>
      </w:r>
      <w:proofErr w:type="gramEnd"/>
      <w:r>
        <w:t>. For example, if a student views a post five times this will count as one view. 6</w:t>
      </w:r>
      <w:r w:rsidR="007D0482">
        <w:t>8</w:t>
      </w:r>
      <w:r>
        <w:t>% of all views (</w:t>
      </w:r>
      <w:r w:rsidR="007D0482">
        <w:t>51,947</w:t>
      </w:r>
      <w:r>
        <w:t xml:space="preserve">) have been from posts on the Medicine board. The UG Science board has the second most with </w:t>
      </w:r>
      <w:r w:rsidR="007D0482">
        <w:t>10,068</w:t>
      </w:r>
      <w:r>
        <w:t xml:space="preserve"> (1</w:t>
      </w:r>
      <w:r w:rsidR="007D0482">
        <w:t>3</w:t>
      </w:r>
      <w:r>
        <w:t xml:space="preserve">%). </w:t>
      </w:r>
    </w:p>
    <w:p w:rsidR="004A43A7" w:rsidP="00061EF6" w:rsidRDefault="004A43A7" w14:paraId="3DEEC669" w14:textId="77777777">
      <w:pPr>
        <w:rPr>
          <w:b/>
        </w:rPr>
      </w:pPr>
    </w:p>
    <w:p w:rsidR="004A43A7" w:rsidP="392A6AED" w:rsidRDefault="388AD540" w14:paraId="3656B9AB" w14:textId="4B3C5E44">
      <w:pPr>
        <w:rPr>
          <w:b/>
          <w:bCs/>
          <w:color w:val="FF0000"/>
        </w:rPr>
      </w:pPr>
      <w:r w:rsidRPr="392A6AED">
        <w:rPr>
          <w:b/>
          <w:bCs/>
        </w:rPr>
        <w:t xml:space="preserve">Posts by feedback type </w:t>
      </w:r>
    </w:p>
    <w:p w:rsidR="392A6AED" w:rsidP="392A6AED" w:rsidRDefault="392A6AED" w14:paraId="76E05AF0" w14:textId="1D7DE6E5">
      <w:pPr>
        <w:rPr>
          <w:b/>
          <w:bCs/>
        </w:rPr>
      </w:pPr>
    </w:p>
    <w:p w:rsidR="007D0482" w:rsidP="007D0482" w:rsidRDefault="007D0482" w14:paraId="66F08FCE" w14:textId="20D2C40C">
      <w:r>
        <w:t xml:space="preserve">The vast majority of posts we have seen so far have been issues and questions, representing 36% of posts on </w:t>
      </w:r>
      <w:proofErr w:type="spellStart"/>
      <w:r>
        <w:t>Unitu</w:t>
      </w:r>
      <w:proofErr w:type="spellEnd"/>
      <w:r>
        <w:t xml:space="preserve"> respectively.</w:t>
      </w:r>
    </w:p>
    <w:p w:rsidR="007D0482" w:rsidP="007D0482" w:rsidRDefault="007D0482" w14:paraId="50B7B87B" w14:textId="332D2266"/>
    <w:p w:rsidRPr="00186AC9" w:rsidR="007D0482" w:rsidP="007D0482" w:rsidRDefault="007D0482" w14:paraId="658D631E" w14:textId="7C205B59">
      <w:r>
        <w:rPr>
          <w:b/>
          <w:noProof/>
        </w:rPr>
        <w:drawing>
          <wp:inline distT="0" distB="0" distL="0" distR="0" wp14:anchorId="005D634A" wp14:editId="19B6CE66">
            <wp:extent cx="5486400" cy="2869565"/>
            <wp:effectExtent l="0" t="0" r="12700" b="1333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A43A7" w:rsidP="00061EF6" w:rsidRDefault="004A43A7" w14:paraId="049F31CB" w14:textId="77777777">
      <w:pPr>
        <w:rPr>
          <w:b/>
        </w:rPr>
      </w:pPr>
    </w:p>
    <w:p w:rsidR="004A43A7" w:rsidP="392A6AED" w:rsidRDefault="388AD540" w14:paraId="5B8111CF" w14:textId="7CD43AEE">
      <w:pPr>
        <w:rPr>
          <w:b/>
          <w:bCs/>
          <w:color w:val="FF0000"/>
        </w:rPr>
      </w:pPr>
      <w:r w:rsidRPr="392A6AED">
        <w:rPr>
          <w:b/>
          <w:bCs/>
        </w:rPr>
        <w:t xml:space="preserve">User retention </w:t>
      </w:r>
    </w:p>
    <w:p w:rsidR="004A43A7" w:rsidP="00061EF6" w:rsidRDefault="004A43A7" w14:paraId="53128261" w14:textId="77777777">
      <w:pPr>
        <w:rPr>
          <w:b/>
        </w:rPr>
      </w:pPr>
    </w:p>
    <w:p w:rsidR="004A43A7" w:rsidP="392A6AED" w:rsidRDefault="007D0482" w14:paraId="62486C05" w14:textId="558E17ED">
      <w:r>
        <w:rPr>
          <w:b/>
          <w:noProof/>
        </w:rPr>
        <w:drawing>
          <wp:inline distT="0" distB="0" distL="0" distR="0" wp14:anchorId="4738BC62" wp14:editId="669FDAE9">
            <wp:extent cx="5486400" cy="320040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A43A7" w:rsidP="00061EF6" w:rsidRDefault="004A43A7" w14:paraId="4101652C" w14:textId="77777777">
      <w:pPr>
        <w:rPr>
          <w:b/>
        </w:rPr>
      </w:pPr>
    </w:p>
    <w:p w:rsidRPr="004A43A7" w:rsidR="004A43A7" w:rsidP="00061EF6" w:rsidRDefault="388AD540" w14:paraId="491BBE48" w14:textId="5A52D75D">
      <w:r>
        <w:t xml:space="preserve">User retention refers to users who have logged in </w:t>
      </w:r>
      <w:r w:rsidR="3FA2D234">
        <w:t xml:space="preserve">to </w:t>
      </w:r>
      <w:proofErr w:type="spellStart"/>
      <w:r w:rsidR="3FA2D234">
        <w:t>Unitu</w:t>
      </w:r>
      <w:proofErr w:type="spellEnd"/>
      <w:r w:rsidR="3FA2D234">
        <w:t xml:space="preserve"> </w:t>
      </w:r>
      <w:r>
        <w:t xml:space="preserve">over the </w:t>
      </w:r>
      <w:r w:rsidR="3FA2D234">
        <w:t>past</w:t>
      </w:r>
      <w:r>
        <w:t xml:space="preserve"> week. User retention at monthly intervals shows that, on average, 575 to 7</w:t>
      </w:r>
      <w:r w:rsidR="1884ED9F">
        <w:t>10</w:t>
      </w:r>
      <w:r>
        <w:t xml:space="preserve"> users access </w:t>
      </w:r>
      <w:proofErr w:type="spellStart"/>
      <w:r>
        <w:t>Unitu</w:t>
      </w:r>
      <w:proofErr w:type="spellEnd"/>
      <w:r>
        <w:t xml:space="preserve"> on a weekly basis</w:t>
      </w:r>
      <w:r w:rsidR="007D0482">
        <w:t xml:space="preserve"> during term time.</w:t>
      </w:r>
    </w:p>
    <w:p w:rsidR="00061EF6" w:rsidP="00061EF6" w:rsidRDefault="00061EF6" w14:paraId="4B99056E" w14:textId="77777777"/>
    <w:p w:rsidR="00061EF6" w:rsidP="392A6AED" w:rsidRDefault="29A9586A" w14:paraId="2DB61805" w14:textId="60793FF5">
      <w:pPr>
        <w:rPr>
          <w:b/>
          <w:bCs/>
          <w:color w:val="FF0000"/>
        </w:rPr>
      </w:pPr>
      <w:r w:rsidRPr="392A6AED">
        <w:rPr>
          <w:b/>
          <w:bCs/>
        </w:rPr>
        <w:t>Account activations</w:t>
      </w:r>
      <w:r w:rsidRPr="392A6AED" w:rsidR="388AD540">
        <w:rPr>
          <w:b/>
          <w:bCs/>
        </w:rPr>
        <w:t xml:space="preserve"> </w:t>
      </w:r>
    </w:p>
    <w:p w:rsidR="00061EF6" w:rsidP="00061EF6" w:rsidRDefault="00061EF6" w14:paraId="1299C43A" w14:textId="77777777"/>
    <w:p w:rsidRPr="00061EF6" w:rsidR="00061EF6" w:rsidP="392A6AED" w:rsidRDefault="007D0482" w14:paraId="4DDBEF00" w14:textId="3A2BA652">
      <w:r>
        <w:rPr>
          <w:noProof/>
        </w:rPr>
        <w:drawing>
          <wp:inline distT="0" distB="0" distL="0" distR="0" wp14:anchorId="379865F1" wp14:editId="6C8B9355">
            <wp:extent cx="5600700" cy="32575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2900" w:rsidP="00A92900" w:rsidRDefault="00A92900" w14:paraId="3461D779" w14:textId="77777777"/>
    <w:p w:rsidRPr="00061EF6" w:rsidR="00061EF6" w:rsidP="392A6AED" w:rsidRDefault="29A9586A" w14:paraId="36887AD1" w14:textId="6F20DE7B">
      <w:pPr>
        <w:rPr>
          <w:b/>
          <w:bCs/>
        </w:rPr>
      </w:pPr>
      <w:r>
        <w:lastRenderedPageBreak/>
        <w:t>6</w:t>
      </w:r>
      <w:r w:rsidR="007D0482">
        <w:t>5</w:t>
      </w:r>
      <w:r>
        <w:t>% of all possible users (6</w:t>
      </w:r>
      <w:r w:rsidR="007D0482">
        <w:t>4</w:t>
      </w:r>
      <w:r>
        <w:t>% students, 86% Year Reps &amp; 88% staff) have activated their accounts. Returning students did not lose access to their account which explains why activation rates are significantly higher compared to the first month of implementation in 2019-2020. Overall account activation has increased from 49% at the start of the academic year to 6</w:t>
      </w:r>
      <w:r w:rsidR="007D0482">
        <w:t>5</w:t>
      </w:r>
      <w:r>
        <w:t xml:space="preserve">% now. </w:t>
      </w:r>
    </w:p>
    <w:p w:rsidR="00A92900" w:rsidP="00A92900" w:rsidRDefault="00A92900" w14:paraId="3CF2D8B6" w14:textId="77777777"/>
    <w:p w:rsidR="004A43A7" w:rsidP="00A92900" w:rsidRDefault="004A43A7" w14:paraId="0E80B435" w14:textId="77777777">
      <w:pPr>
        <w:rPr>
          <w:b/>
        </w:rPr>
      </w:pPr>
      <w:r>
        <w:rPr>
          <w:b/>
        </w:rPr>
        <w:t>Account activation by programme</w:t>
      </w:r>
    </w:p>
    <w:p w:rsidR="00546C48" w:rsidP="00A92900" w:rsidRDefault="00546C48" w14:paraId="0FB78278" w14:textId="77777777">
      <w:pPr>
        <w:rPr>
          <w:b/>
        </w:rPr>
      </w:pPr>
    </w:p>
    <w:p w:rsidRPr="00546C48" w:rsidR="00546C48" w:rsidP="00A92900" w:rsidRDefault="00546C48" w14:paraId="70077896" w14:textId="3F6C082A">
      <w:r>
        <w:t>The tables below illustrate activation data per programme up to 30</w:t>
      </w:r>
      <w:r w:rsidRPr="00546C48">
        <w:rPr>
          <w:vertAlign w:val="superscript"/>
        </w:rPr>
        <w:t>th</w:t>
      </w:r>
      <w:r>
        <w:t xml:space="preserve"> March 2021</w:t>
      </w:r>
      <w:r w:rsidR="007D0482">
        <w:t xml:space="preserve"> (new data has been requested, although account activation has not increased significantly overall since March 2021)</w:t>
      </w:r>
      <w:r>
        <w:t>.</w:t>
      </w:r>
      <w:r w:rsidR="00D41584">
        <w:t xml:space="preserve"> The activation rates of programmes which have witnessed high engagement rates have been highlighted in green</w:t>
      </w:r>
      <w:r w:rsidR="00EE7D07">
        <w:t xml:space="preserve"> with full-time Unde</w:t>
      </w:r>
      <w:r w:rsidR="00335E01">
        <w:t>r</w:t>
      </w:r>
      <w:r w:rsidR="00EE7D07">
        <w:t>graduate</w:t>
      </w:r>
      <w:r w:rsidR="00335E01">
        <w:t>/Post-grad Pre-reg</w:t>
      </w:r>
      <w:r w:rsidR="00EE7D07">
        <w:t xml:space="preserve"> programmes highlighted in yellow</w:t>
      </w:r>
      <w:r w:rsidR="00D41584">
        <w:t>.</w:t>
      </w:r>
    </w:p>
    <w:p w:rsidR="004A43A7" w:rsidP="00A92900" w:rsidRDefault="004A43A7" w14:paraId="1FC39945" w14:textId="77777777">
      <w:pPr>
        <w:rPr>
          <w:b/>
        </w:rPr>
      </w:pPr>
    </w:p>
    <w:tbl>
      <w:tblPr>
        <w:tblStyle w:val="TableGrid"/>
        <w:tblW w:w="0" w:type="auto"/>
        <w:tblLook w:val="04A0" w:firstRow="1" w:lastRow="0" w:firstColumn="1" w:lastColumn="0" w:noHBand="0" w:noVBand="1"/>
      </w:tblPr>
      <w:tblGrid>
        <w:gridCol w:w="2547"/>
        <w:gridCol w:w="4678"/>
        <w:gridCol w:w="1785"/>
      </w:tblGrid>
      <w:tr w:rsidR="004A43A7" w:rsidTr="006D7520" w14:paraId="09AC4A87" w14:textId="77777777">
        <w:tc>
          <w:tcPr>
            <w:tcW w:w="2547" w:type="dxa"/>
          </w:tcPr>
          <w:p w:rsidR="004A43A7" w:rsidP="00A92900" w:rsidRDefault="004A43A7" w14:paraId="2CD6044F" w14:textId="77777777">
            <w:pPr>
              <w:rPr>
                <w:b/>
              </w:rPr>
            </w:pPr>
            <w:r>
              <w:rPr>
                <w:b/>
              </w:rPr>
              <w:t>Departmental Board</w:t>
            </w:r>
          </w:p>
        </w:tc>
        <w:tc>
          <w:tcPr>
            <w:tcW w:w="4678" w:type="dxa"/>
          </w:tcPr>
          <w:p w:rsidR="004A43A7" w:rsidP="00A92900" w:rsidRDefault="004A43A7" w14:paraId="36E5840A" w14:textId="77777777">
            <w:pPr>
              <w:rPr>
                <w:b/>
              </w:rPr>
            </w:pPr>
            <w:r>
              <w:rPr>
                <w:b/>
              </w:rPr>
              <w:t>Course</w:t>
            </w:r>
          </w:p>
        </w:tc>
        <w:tc>
          <w:tcPr>
            <w:tcW w:w="1785" w:type="dxa"/>
          </w:tcPr>
          <w:p w:rsidR="004A43A7" w:rsidP="00A92900" w:rsidRDefault="004A43A7" w14:paraId="0E2D0E60" w14:textId="77777777">
            <w:pPr>
              <w:rPr>
                <w:b/>
              </w:rPr>
            </w:pPr>
            <w:r>
              <w:rPr>
                <w:b/>
              </w:rPr>
              <w:t xml:space="preserve">Activation rate </w:t>
            </w:r>
          </w:p>
        </w:tc>
      </w:tr>
      <w:tr w:rsidR="004A43A7" w:rsidTr="006D7520" w14:paraId="66719102" w14:textId="77777777">
        <w:tc>
          <w:tcPr>
            <w:tcW w:w="2547" w:type="dxa"/>
          </w:tcPr>
          <w:p w:rsidRPr="00EE7D07" w:rsidR="004A43A7" w:rsidP="00A92900" w:rsidRDefault="004A43A7" w14:paraId="078FDEC4" w14:textId="77777777">
            <w:pPr>
              <w:rPr>
                <w:rFonts w:ascii="Calibri" w:hAnsi="Calibri" w:cs="Arial"/>
                <w:color w:val="000000"/>
                <w:sz w:val="22"/>
                <w:szCs w:val="22"/>
                <w:highlight w:val="yellow"/>
              </w:rPr>
            </w:pPr>
            <w:r w:rsidRPr="00EE7D07">
              <w:rPr>
                <w:rFonts w:ascii="Calibri" w:hAnsi="Calibri" w:cs="Arial"/>
                <w:color w:val="000000"/>
                <w:sz w:val="22"/>
                <w:szCs w:val="22"/>
                <w:highlight w:val="yellow"/>
              </w:rPr>
              <w:t>Allied Health and Nursing</w:t>
            </w:r>
          </w:p>
        </w:tc>
        <w:tc>
          <w:tcPr>
            <w:tcW w:w="4678" w:type="dxa"/>
          </w:tcPr>
          <w:p w:rsidRPr="00EE7D07" w:rsidR="004A43A7" w:rsidP="00A92900" w:rsidRDefault="004A43A7" w14:paraId="372F70D3" w14:textId="77777777">
            <w:pPr>
              <w:rPr>
                <w:rFonts w:ascii="Calibri" w:hAnsi="Calibri" w:cs="Arial"/>
                <w:color w:val="000000"/>
                <w:sz w:val="22"/>
                <w:szCs w:val="22"/>
                <w:highlight w:val="yellow"/>
              </w:rPr>
            </w:pPr>
            <w:r w:rsidRPr="00EE7D07">
              <w:rPr>
                <w:rFonts w:ascii="Calibri" w:hAnsi="Calibri" w:cs="Arial"/>
                <w:color w:val="000000"/>
                <w:sz w:val="22"/>
                <w:szCs w:val="22"/>
                <w:highlight w:val="yellow"/>
              </w:rPr>
              <w:t>BSc Paramedic Science</w:t>
            </w:r>
          </w:p>
        </w:tc>
        <w:tc>
          <w:tcPr>
            <w:tcW w:w="1785" w:type="dxa"/>
          </w:tcPr>
          <w:p w:rsidRPr="00EE7D07" w:rsidR="004A43A7" w:rsidP="00A92900" w:rsidRDefault="004A43A7" w14:paraId="7306DF67" w14:textId="77777777">
            <w:pPr>
              <w:rPr>
                <w:rFonts w:ascii="Calibri" w:hAnsi="Calibri" w:cs="Arial"/>
                <w:color w:val="000000"/>
                <w:sz w:val="22"/>
                <w:szCs w:val="22"/>
                <w:highlight w:val="yellow"/>
              </w:rPr>
            </w:pPr>
            <w:r w:rsidRPr="00EE7D07">
              <w:rPr>
                <w:rFonts w:ascii="Calibri" w:hAnsi="Calibri" w:cs="Arial"/>
                <w:color w:val="000000"/>
                <w:sz w:val="22"/>
                <w:szCs w:val="22"/>
                <w:highlight w:val="yellow"/>
              </w:rPr>
              <w:t>81.29%</w:t>
            </w:r>
          </w:p>
        </w:tc>
      </w:tr>
      <w:tr w:rsidR="004A43A7" w:rsidTr="006D7520" w14:paraId="65F22F6B" w14:textId="77777777">
        <w:tc>
          <w:tcPr>
            <w:tcW w:w="2547" w:type="dxa"/>
          </w:tcPr>
          <w:p w:rsidRPr="00D70800" w:rsidR="004A43A7" w:rsidP="004A43A7" w:rsidRDefault="004A43A7" w14:paraId="3941D0C9" w14:textId="77777777">
            <w:pPr>
              <w:rPr>
                <w:rFonts w:ascii="Calibri" w:hAnsi="Calibri" w:cs="Arial"/>
                <w:color w:val="000000"/>
                <w:sz w:val="22"/>
                <w:szCs w:val="22"/>
              </w:rPr>
            </w:pPr>
            <w:r w:rsidRPr="00771B5D">
              <w:rPr>
                <w:rFonts w:ascii="Calibri" w:hAnsi="Calibri" w:cs="Arial"/>
                <w:color w:val="000000"/>
                <w:sz w:val="22"/>
                <w:szCs w:val="22"/>
              </w:rPr>
              <w:t>Allied Health and Nursing</w:t>
            </w:r>
          </w:p>
        </w:tc>
        <w:tc>
          <w:tcPr>
            <w:tcW w:w="4678" w:type="dxa"/>
          </w:tcPr>
          <w:p w:rsidRPr="004A43A7" w:rsidR="004A43A7" w:rsidP="004A43A7" w:rsidRDefault="004A43A7" w14:paraId="5EC62842" w14:textId="77777777">
            <w:pPr>
              <w:rPr>
                <w:rFonts w:ascii="Calibri" w:hAnsi="Calibri" w:cs="Arial"/>
                <w:color w:val="000000"/>
                <w:sz w:val="22"/>
                <w:szCs w:val="22"/>
              </w:rPr>
            </w:pPr>
            <w:r>
              <w:rPr>
                <w:rFonts w:ascii="Calibri" w:hAnsi="Calibri" w:cs="Arial"/>
                <w:color w:val="000000"/>
                <w:sz w:val="22"/>
                <w:szCs w:val="22"/>
              </w:rPr>
              <w:t>MSc Physiotherapy (pre-registration)</w:t>
            </w:r>
          </w:p>
        </w:tc>
        <w:tc>
          <w:tcPr>
            <w:tcW w:w="1785" w:type="dxa"/>
          </w:tcPr>
          <w:p w:rsidRPr="00D70800" w:rsidR="004A43A7" w:rsidP="004A43A7" w:rsidRDefault="006D7520" w14:paraId="64311569" w14:textId="77777777">
            <w:pPr>
              <w:rPr>
                <w:rFonts w:ascii="Calibri" w:hAnsi="Calibri" w:cs="Arial"/>
                <w:color w:val="000000"/>
                <w:sz w:val="22"/>
                <w:szCs w:val="22"/>
              </w:rPr>
            </w:pPr>
            <w:r w:rsidRPr="00D70800">
              <w:rPr>
                <w:rFonts w:ascii="Calibri" w:hAnsi="Calibri" w:cs="Arial"/>
                <w:color w:val="000000"/>
                <w:sz w:val="22"/>
                <w:szCs w:val="22"/>
              </w:rPr>
              <w:t>72.41%</w:t>
            </w:r>
          </w:p>
        </w:tc>
      </w:tr>
      <w:tr w:rsidR="004A43A7" w:rsidTr="006D7520" w14:paraId="509706E3" w14:textId="77777777">
        <w:tc>
          <w:tcPr>
            <w:tcW w:w="2547" w:type="dxa"/>
          </w:tcPr>
          <w:p w:rsidRPr="00D70800" w:rsidR="004A43A7" w:rsidP="004A43A7" w:rsidRDefault="004A43A7" w14:paraId="46182AEA" w14:textId="77777777">
            <w:pPr>
              <w:rPr>
                <w:rFonts w:ascii="Calibri" w:hAnsi="Calibri" w:cs="Arial"/>
                <w:color w:val="000000"/>
                <w:sz w:val="22"/>
                <w:szCs w:val="22"/>
              </w:rPr>
            </w:pPr>
            <w:r w:rsidRPr="00771B5D">
              <w:rPr>
                <w:rFonts w:ascii="Calibri" w:hAnsi="Calibri" w:cs="Arial"/>
                <w:color w:val="000000"/>
                <w:sz w:val="22"/>
                <w:szCs w:val="22"/>
              </w:rPr>
              <w:t>Allied Health and Nursing</w:t>
            </w:r>
          </w:p>
        </w:tc>
        <w:tc>
          <w:tcPr>
            <w:tcW w:w="4678" w:type="dxa"/>
          </w:tcPr>
          <w:p w:rsidRPr="006D7520" w:rsidR="004A43A7" w:rsidP="004A43A7" w:rsidRDefault="006D7520" w14:paraId="14C9C326" w14:textId="77777777">
            <w:pPr>
              <w:rPr>
                <w:rFonts w:ascii="Calibri" w:hAnsi="Calibri" w:cs="Arial"/>
                <w:color w:val="000000"/>
                <w:sz w:val="22"/>
                <w:szCs w:val="22"/>
              </w:rPr>
            </w:pPr>
            <w:r>
              <w:rPr>
                <w:rFonts w:ascii="Calibri" w:hAnsi="Calibri" w:cs="Arial"/>
                <w:color w:val="000000"/>
                <w:sz w:val="22"/>
                <w:szCs w:val="22"/>
              </w:rPr>
              <w:t>Undergraduate Healthcare Practice Module Only</w:t>
            </w:r>
          </w:p>
        </w:tc>
        <w:tc>
          <w:tcPr>
            <w:tcW w:w="1785" w:type="dxa"/>
          </w:tcPr>
          <w:p w:rsidRPr="00D70800" w:rsidR="004A43A7" w:rsidP="004A43A7" w:rsidRDefault="006D7520" w14:paraId="63200723" w14:textId="77777777">
            <w:pPr>
              <w:rPr>
                <w:rFonts w:ascii="Calibri" w:hAnsi="Calibri" w:cs="Arial"/>
                <w:color w:val="000000"/>
                <w:sz w:val="22"/>
                <w:szCs w:val="22"/>
              </w:rPr>
            </w:pPr>
            <w:r w:rsidRPr="00D70800">
              <w:rPr>
                <w:rFonts w:ascii="Calibri" w:hAnsi="Calibri" w:cs="Arial"/>
                <w:color w:val="000000"/>
                <w:sz w:val="22"/>
                <w:szCs w:val="22"/>
              </w:rPr>
              <w:t>7.59%</w:t>
            </w:r>
          </w:p>
        </w:tc>
      </w:tr>
      <w:tr w:rsidR="004A43A7" w:rsidTr="006D7520" w14:paraId="6741A172" w14:textId="77777777">
        <w:tc>
          <w:tcPr>
            <w:tcW w:w="2547" w:type="dxa"/>
          </w:tcPr>
          <w:p w:rsidRPr="00D70800" w:rsidR="004A43A7" w:rsidP="004A43A7" w:rsidRDefault="004A43A7" w14:paraId="46CEC584" w14:textId="77777777">
            <w:pPr>
              <w:rPr>
                <w:rFonts w:ascii="Calibri" w:hAnsi="Calibri" w:cs="Arial"/>
                <w:color w:val="000000"/>
                <w:sz w:val="22"/>
                <w:szCs w:val="22"/>
              </w:rPr>
            </w:pPr>
            <w:r w:rsidRPr="00771B5D">
              <w:rPr>
                <w:rFonts w:ascii="Calibri" w:hAnsi="Calibri" w:cs="Arial"/>
                <w:color w:val="000000"/>
                <w:sz w:val="22"/>
                <w:szCs w:val="22"/>
              </w:rPr>
              <w:t>Allied Health and Nursing</w:t>
            </w:r>
          </w:p>
        </w:tc>
        <w:tc>
          <w:tcPr>
            <w:tcW w:w="4678" w:type="dxa"/>
          </w:tcPr>
          <w:p w:rsidRPr="006D7520" w:rsidR="004A43A7" w:rsidP="004A43A7" w:rsidRDefault="006D7520" w14:paraId="592DEC52" w14:textId="77777777">
            <w:pPr>
              <w:rPr>
                <w:rFonts w:ascii="Calibri" w:hAnsi="Calibri" w:cs="Arial"/>
                <w:color w:val="000000"/>
                <w:sz w:val="22"/>
                <w:szCs w:val="22"/>
              </w:rPr>
            </w:pPr>
            <w:proofErr w:type="spellStart"/>
            <w:r>
              <w:rPr>
                <w:rFonts w:ascii="Calibri" w:hAnsi="Calibri" w:cs="Arial"/>
                <w:color w:val="000000"/>
                <w:sz w:val="22"/>
                <w:szCs w:val="22"/>
              </w:rPr>
              <w:t>MRes</w:t>
            </w:r>
            <w:proofErr w:type="spellEnd"/>
            <w:r>
              <w:rPr>
                <w:rFonts w:ascii="Calibri" w:hAnsi="Calibri" w:cs="Arial"/>
                <w:color w:val="000000"/>
                <w:sz w:val="22"/>
                <w:szCs w:val="22"/>
              </w:rPr>
              <w:t xml:space="preserve"> Clinical Research - Full Time</w:t>
            </w:r>
          </w:p>
        </w:tc>
        <w:tc>
          <w:tcPr>
            <w:tcW w:w="1785" w:type="dxa"/>
          </w:tcPr>
          <w:p w:rsidRPr="00D70800" w:rsidR="004A43A7" w:rsidP="004A43A7" w:rsidRDefault="006D7520" w14:paraId="2C093AEC" w14:textId="77777777">
            <w:pPr>
              <w:rPr>
                <w:rFonts w:ascii="Calibri" w:hAnsi="Calibri" w:cs="Arial"/>
                <w:color w:val="000000"/>
                <w:sz w:val="22"/>
                <w:szCs w:val="22"/>
              </w:rPr>
            </w:pPr>
            <w:r w:rsidRPr="00D70800">
              <w:rPr>
                <w:rFonts w:ascii="Calibri" w:hAnsi="Calibri" w:cs="Arial"/>
                <w:color w:val="000000"/>
                <w:sz w:val="22"/>
                <w:szCs w:val="22"/>
              </w:rPr>
              <w:t>66.67%</w:t>
            </w:r>
          </w:p>
        </w:tc>
      </w:tr>
      <w:tr w:rsidR="004A43A7" w:rsidTr="006D7520" w14:paraId="3B838493" w14:textId="77777777">
        <w:tc>
          <w:tcPr>
            <w:tcW w:w="2547" w:type="dxa"/>
          </w:tcPr>
          <w:p w:rsidRPr="00D70800" w:rsidR="004A43A7" w:rsidP="004A43A7" w:rsidRDefault="004A43A7" w14:paraId="48A56F1E" w14:textId="77777777">
            <w:pPr>
              <w:rPr>
                <w:rFonts w:ascii="Calibri" w:hAnsi="Calibri" w:cs="Arial"/>
                <w:color w:val="000000"/>
                <w:sz w:val="22"/>
                <w:szCs w:val="22"/>
              </w:rPr>
            </w:pPr>
            <w:r w:rsidRPr="00771B5D">
              <w:rPr>
                <w:rFonts w:ascii="Calibri" w:hAnsi="Calibri" w:cs="Arial"/>
                <w:color w:val="000000"/>
                <w:sz w:val="22"/>
                <w:szCs w:val="22"/>
              </w:rPr>
              <w:t>Allied Health and Nursing</w:t>
            </w:r>
          </w:p>
        </w:tc>
        <w:tc>
          <w:tcPr>
            <w:tcW w:w="4678" w:type="dxa"/>
          </w:tcPr>
          <w:p w:rsidRPr="006D7520" w:rsidR="004A43A7" w:rsidP="004A43A7" w:rsidRDefault="006D7520" w14:paraId="007E867B" w14:textId="77777777">
            <w:pPr>
              <w:rPr>
                <w:rFonts w:ascii="Calibri" w:hAnsi="Calibri" w:cs="Arial"/>
                <w:color w:val="000000"/>
                <w:sz w:val="22"/>
                <w:szCs w:val="22"/>
              </w:rPr>
            </w:pPr>
            <w:r>
              <w:rPr>
                <w:rFonts w:ascii="Calibri" w:hAnsi="Calibri" w:cs="Arial"/>
                <w:color w:val="000000"/>
                <w:sz w:val="22"/>
                <w:szCs w:val="22"/>
              </w:rPr>
              <w:t>MSc Healthcare Practice - Module Only</w:t>
            </w:r>
          </w:p>
        </w:tc>
        <w:tc>
          <w:tcPr>
            <w:tcW w:w="1785" w:type="dxa"/>
          </w:tcPr>
          <w:p w:rsidRPr="00D70800" w:rsidR="004A43A7" w:rsidP="004A43A7" w:rsidRDefault="006D7520" w14:paraId="199E89EF" w14:textId="77777777">
            <w:pPr>
              <w:rPr>
                <w:rFonts w:ascii="Calibri" w:hAnsi="Calibri" w:cs="Arial"/>
                <w:color w:val="000000"/>
                <w:sz w:val="22"/>
                <w:szCs w:val="22"/>
              </w:rPr>
            </w:pPr>
            <w:r w:rsidRPr="00D70800">
              <w:rPr>
                <w:rFonts w:ascii="Calibri" w:hAnsi="Calibri" w:cs="Arial"/>
                <w:color w:val="000000"/>
                <w:sz w:val="22"/>
                <w:szCs w:val="22"/>
              </w:rPr>
              <w:t>6.06%</w:t>
            </w:r>
          </w:p>
        </w:tc>
      </w:tr>
      <w:tr w:rsidR="004A43A7" w:rsidTr="006D7520" w14:paraId="0F747D38" w14:textId="77777777">
        <w:tc>
          <w:tcPr>
            <w:tcW w:w="2547" w:type="dxa"/>
          </w:tcPr>
          <w:p w:rsidRPr="00724312" w:rsidR="004A43A7" w:rsidP="004A43A7" w:rsidRDefault="004A43A7" w14:paraId="03BA054F" w14:textId="77777777">
            <w:pPr>
              <w:rPr>
                <w:rFonts w:ascii="Calibri" w:hAnsi="Calibri" w:cs="Arial"/>
                <w:color w:val="000000"/>
                <w:sz w:val="22"/>
                <w:szCs w:val="22"/>
                <w:highlight w:val="yellow"/>
              </w:rPr>
            </w:pPr>
            <w:r w:rsidRPr="00724312">
              <w:rPr>
                <w:rFonts w:ascii="Calibri" w:hAnsi="Calibri" w:cs="Arial"/>
                <w:color w:val="000000"/>
                <w:sz w:val="22"/>
                <w:szCs w:val="22"/>
                <w:highlight w:val="yellow"/>
              </w:rPr>
              <w:t>Allied Health and Nursing</w:t>
            </w:r>
          </w:p>
        </w:tc>
        <w:tc>
          <w:tcPr>
            <w:tcW w:w="4678" w:type="dxa"/>
          </w:tcPr>
          <w:p w:rsidRPr="00724312" w:rsidR="004A43A7" w:rsidP="004A43A7" w:rsidRDefault="006D7520" w14:paraId="5432E9C5" w14:textId="77777777">
            <w:pPr>
              <w:rPr>
                <w:rFonts w:ascii="Calibri" w:hAnsi="Calibri" w:cs="Arial"/>
                <w:color w:val="000000"/>
                <w:sz w:val="22"/>
                <w:szCs w:val="22"/>
                <w:highlight w:val="yellow"/>
              </w:rPr>
            </w:pPr>
            <w:r w:rsidRPr="00724312">
              <w:rPr>
                <w:rFonts w:ascii="Calibri" w:hAnsi="Calibri" w:cs="Arial"/>
                <w:color w:val="000000"/>
                <w:sz w:val="22"/>
                <w:szCs w:val="22"/>
                <w:highlight w:val="yellow"/>
              </w:rPr>
              <w:t>BSc (Hons) Physiotherapy</w:t>
            </w:r>
          </w:p>
        </w:tc>
        <w:tc>
          <w:tcPr>
            <w:tcW w:w="1785" w:type="dxa"/>
          </w:tcPr>
          <w:p w:rsidRPr="00724312" w:rsidR="004A43A7" w:rsidP="004A43A7" w:rsidRDefault="006D7520" w14:paraId="41AA4699" w14:textId="77777777">
            <w:pPr>
              <w:rPr>
                <w:rFonts w:ascii="Calibri" w:hAnsi="Calibri" w:cs="Arial"/>
                <w:color w:val="000000"/>
                <w:sz w:val="22"/>
                <w:szCs w:val="22"/>
                <w:highlight w:val="yellow"/>
              </w:rPr>
            </w:pPr>
            <w:r w:rsidRPr="00724312">
              <w:rPr>
                <w:rFonts w:ascii="Calibri" w:hAnsi="Calibri" w:cs="Arial"/>
                <w:color w:val="000000"/>
                <w:sz w:val="22"/>
                <w:szCs w:val="22"/>
                <w:highlight w:val="yellow"/>
              </w:rPr>
              <w:t>58.08%</w:t>
            </w:r>
          </w:p>
        </w:tc>
      </w:tr>
      <w:tr w:rsidR="004A43A7" w:rsidTr="006D7520" w14:paraId="532727D7" w14:textId="77777777">
        <w:tc>
          <w:tcPr>
            <w:tcW w:w="2547" w:type="dxa"/>
          </w:tcPr>
          <w:p w:rsidRPr="00724312" w:rsidR="004A43A7" w:rsidP="004A43A7" w:rsidRDefault="004A43A7" w14:paraId="53320E2C" w14:textId="77777777">
            <w:pPr>
              <w:rPr>
                <w:rFonts w:ascii="Calibri" w:hAnsi="Calibri" w:cs="Arial"/>
                <w:color w:val="000000"/>
                <w:sz w:val="22"/>
                <w:szCs w:val="22"/>
                <w:highlight w:val="yellow"/>
              </w:rPr>
            </w:pPr>
            <w:r w:rsidRPr="00724312">
              <w:rPr>
                <w:rFonts w:ascii="Calibri" w:hAnsi="Calibri" w:cs="Arial"/>
                <w:color w:val="000000"/>
                <w:sz w:val="22"/>
                <w:szCs w:val="22"/>
                <w:highlight w:val="yellow"/>
              </w:rPr>
              <w:t>Allied Health and Nursing</w:t>
            </w:r>
          </w:p>
        </w:tc>
        <w:tc>
          <w:tcPr>
            <w:tcW w:w="4678" w:type="dxa"/>
          </w:tcPr>
          <w:p w:rsidRPr="00724312" w:rsidR="004A43A7" w:rsidP="004A43A7" w:rsidRDefault="006D7520" w14:paraId="6D87FBA4" w14:textId="77777777">
            <w:pPr>
              <w:rPr>
                <w:rFonts w:ascii="Calibri" w:hAnsi="Calibri" w:cs="Arial"/>
                <w:color w:val="000000"/>
                <w:sz w:val="22"/>
                <w:szCs w:val="22"/>
                <w:highlight w:val="yellow"/>
              </w:rPr>
            </w:pPr>
            <w:r w:rsidRPr="00724312">
              <w:rPr>
                <w:rFonts w:ascii="Calibri" w:hAnsi="Calibri" w:cs="Arial"/>
                <w:color w:val="000000"/>
                <w:sz w:val="22"/>
                <w:szCs w:val="22"/>
                <w:highlight w:val="yellow"/>
              </w:rPr>
              <w:t>BSc (Hons) Occupational Therapy</w:t>
            </w:r>
          </w:p>
        </w:tc>
        <w:tc>
          <w:tcPr>
            <w:tcW w:w="1785" w:type="dxa"/>
          </w:tcPr>
          <w:p w:rsidRPr="00724312" w:rsidR="004A43A7" w:rsidP="004A43A7" w:rsidRDefault="000F3300" w14:paraId="54DA4377" w14:textId="77777777">
            <w:pPr>
              <w:rPr>
                <w:rFonts w:ascii="Calibri" w:hAnsi="Calibri" w:cs="Arial"/>
                <w:color w:val="000000"/>
                <w:sz w:val="22"/>
                <w:szCs w:val="22"/>
                <w:highlight w:val="yellow"/>
              </w:rPr>
            </w:pPr>
            <w:r w:rsidRPr="00724312">
              <w:rPr>
                <w:rFonts w:ascii="Calibri" w:hAnsi="Calibri" w:cs="Arial"/>
                <w:color w:val="000000"/>
                <w:sz w:val="22"/>
                <w:szCs w:val="22"/>
                <w:highlight w:val="yellow"/>
              </w:rPr>
              <w:t>57.83%</w:t>
            </w:r>
          </w:p>
        </w:tc>
      </w:tr>
      <w:tr w:rsidR="004A43A7" w:rsidTr="006D7520" w14:paraId="67772A1D" w14:textId="77777777">
        <w:tc>
          <w:tcPr>
            <w:tcW w:w="2547" w:type="dxa"/>
          </w:tcPr>
          <w:p w:rsidRPr="00724312" w:rsidR="004A43A7" w:rsidP="004A43A7" w:rsidRDefault="004A43A7" w14:paraId="6CFB891D" w14:textId="77777777">
            <w:pPr>
              <w:rPr>
                <w:rFonts w:ascii="Calibri" w:hAnsi="Calibri" w:cs="Arial"/>
                <w:color w:val="000000"/>
                <w:sz w:val="22"/>
                <w:szCs w:val="22"/>
                <w:highlight w:val="yellow"/>
              </w:rPr>
            </w:pPr>
            <w:r w:rsidRPr="00724312">
              <w:rPr>
                <w:rFonts w:ascii="Calibri" w:hAnsi="Calibri" w:cs="Arial"/>
                <w:color w:val="000000"/>
                <w:sz w:val="22"/>
                <w:szCs w:val="22"/>
                <w:highlight w:val="yellow"/>
              </w:rPr>
              <w:t>Allied Health and Nursing</w:t>
            </w:r>
          </w:p>
        </w:tc>
        <w:tc>
          <w:tcPr>
            <w:tcW w:w="4678" w:type="dxa"/>
          </w:tcPr>
          <w:p w:rsidRPr="00724312" w:rsidR="004A43A7" w:rsidP="004A43A7" w:rsidRDefault="006D7520" w14:paraId="6C493C56" w14:textId="77777777">
            <w:pPr>
              <w:rPr>
                <w:rFonts w:ascii="Calibri" w:hAnsi="Calibri" w:cs="Arial"/>
                <w:color w:val="000000"/>
                <w:sz w:val="22"/>
                <w:szCs w:val="22"/>
                <w:highlight w:val="yellow"/>
              </w:rPr>
            </w:pPr>
            <w:r w:rsidRPr="00724312">
              <w:rPr>
                <w:rFonts w:ascii="Calibri" w:hAnsi="Calibri" w:cs="Arial"/>
                <w:color w:val="000000"/>
                <w:sz w:val="22"/>
                <w:szCs w:val="22"/>
                <w:highlight w:val="yellow"/>
              </w:rPr>
              <w:t>Diagnostic Radiography</w:t>
            </w:r>
          </w:p>
        </w:tc>
        <w:tc>
          <w:tcPr>
            <w:tcW w:w="1785" w:type="dxa"/>
          </w:tcPr>
          <w:p w:rsidRPr="00724312" w:rsidR="004A43A7" w:rsidP="004A43A7" w:rsidRDefault="000F3300" w14:paraId="58CBF184" w14:textId="77777777">
            <w:pPr>
              <w:rPr>
                <w:rFonts w:ascii="Calibri" w:hAnsi="Calibri" w:cs="Arial"/>
                <w:color w:val="000000"/>
                <w:sz w:val="22"/>
                <w:szCs w:val="22"/>
                <w:highlight w:val="yellow"/>
              </w:rPr>
            </w:pPr>
            <w:r w:rsidRPr="00724312">
              <w:rPr>
                <w:rFonts w:ascii="Calibri" w:hAnsi="Calibri" w:cs="Arial"/>
                <w:color w:val="000000"/>
                <w:sz w:val="22"/>
                <w:szCs w:val="22"/>
                <w:highlight w:val="yellow"/>
              </w:rPr>
              <w:t>46.32%</w:t>
            </w:r>
          </w:p>
        </w:tc>
      </w:tr>
      <w:tr w:rsidR="004A43A7" w:rsidTr="006D7520" w14:paraId="71D0F907" w14:textId="77777777">
        <w:tc>
          <w:tcPr>
            <w:tcW w:w="2547" w:type="dxa"/>
          </w:tcPr>
          <w:p w:rsidRPr="00724312" w:rsidR="004A43A7" w:rsidP="004A43A7" w:rsidRDefault="004A43A7" w14:paraId="37B80E3B" w14:textId="77777777">
            <w:pPr>
              <w:rPr>
                <w:rFonts w:ascii="Calibri" w:hAnsi="Calibri" w:cs="Arial"/>
                <w:color w:val="000000"/>
                <w:sz w:val="22"/>
                <w:szCs w:val="22"/>
                <w:highlight w:val="yellow"/>
              </w:rPr>
            </w:pPr>
            <w:r w:rsidRPr="00724312">
              <w:rPr>
                <w:rFonts w:ascii="Calibri" w:hAnsi="Calibri" w:cs="Arial"/>
                <w:color w:val="000000"/>
                <w:sz w:val="22"/>
                <w:szCs w:val="22"/>
                <w:highlight w:val="yellow"/>
              </w:rPr>
              <w:t>Allied Health and Nursing</w:t>
            </w:r>
          </w:p>
        </w:tc>
        <w:tc>
          <w:tcPr>
            <w:tcW w:w="4678" w:type="dxa"/>
          </w:tcPr>
          <w:p w:rsidRPr="00724312" w:rsidR="004A43A7" w:rsidP="004A43A7" w:rsidRDefault="006D7520" w14:paraId="63E652AF" w14:textId="77777777">
            <w:pPr>
              <w:rPr>
                <w:rFonts w:ascii="Calibri" w:hAnsi="Calibri" w:cs="Arial"/>
                <w:color w:val="000000"/>
                <w:sz w:val="22"/>
                <w:szCs w:val="22"/>
                <w:highlight w:val="yellow"/>
              </w:rPr>
            </w:pPr>
            <w:r w:rsidRPr="00724312">
              <w:rPr>
                <w:rFonts w:ascii="Calibri" w:hAnsi="Calibri" w:cs="Arial"/>
                <w:color w:val="000000"/>
                <w:sz w:val="22"/>
                <w:szCs w:val="22"/>
                <w:highlight w:val="yellow"/>
              </w:rPr>
              <w:t>BSc Therapeutic Radiography</w:t>
            </w:r>
          </w:p>
        </w:tc>
        <w:tc>
          <w:tcPr>
            <w:tcW w:w="1785" w:type="dxa"/>
          </w:tcPr>
          <w:p w:rsidRPr="00724312" w:rsidR="004A43A7" w:rsidP="004A43A7" w:rsidRDefault="000F3300" w14:paraId="00210B47" w14:textId="77777777">
            <w:pPr>
              <w:rPr>
                <w:rFonts w:ascii="Calibri" w:hAnsi="Calibri" w:cs="Arial"/>
                <w:color w:val="000000"/>
                <w:sz w:val="22"/>
                <w:szCs w:val="22"/>
                <w:highlight w:val="yellow"/>
              </w:rPr>
            </w:pPr>
            <w:r w:rsidRPr="00724312">
              <w:rPr>
                <w:rFonts w:ascii="Calibri" w:hAnsi="Calibri" w:cs="Arial"/>
                <w:color w:val="000000"/>
                <w:sz w:val="22"/>
                <w:szCs w:val="22"/>
                <w:highlight w:val="yellow"/>
              </w:rPr>
              <w:t>42.86%</w:t>
            </w:r>
          </w:p>
        </w:tc>
      </w:tr>
      <w:tr w:rsidR="004A43A7" w:rsidTr="006D7520" w14:paraId="0F9DC3D1" w14:textId="77777777">
        <w:tc>
          <w:tcPr>
            <w:tcW w:w="2547" w:type="dxa"/>
          </w:tcPr>
          <w:p w:rsidRPr="00D70800" w:rsidR="004A43A7" w:rsidP="004A43A7" w:rsidRDefault="004A43A7" w14:paraId="5C0BB4F2" w14:textId="77777777">
            <w:pPr>
              <w:rPr>
                <w:rFonts w:ascii="Calibri" w:hAnsi="Calibri" w:cs="Arial"/>
                <w:color w:val="000000"/>
                <w:sz w:val="22"/>
                <w:szCs w:val="22"/>
              </w:rPr>
            </w:pPr>
            <w:r w:rsidRPr="00771B5D">
              <w:rPr>
                <w:rFonts w:ascii="Calibri" w:hAnsi="Calibri" w:cs="Arial"/>
                <w:color w:val="000000"/>
                <w:sz w:val="22"/>
                <w:szCs w:val="22"/>
              </w:rPr>
              <w:t>Allied Health and Nursing</w:t>
            </w:r>
          </w:p>
        </w:tc>
        <w:tc>
          <w:tcPr>
            <w:tcW w:w="4678" w:type="dxa"/>
          </w:tcPr>
          <w:p w:rsidRPr="006D7520" w:rsidR="004A43A7" w:rsidP="004A43A7" w:rsidRDefault="006D7520" w14:paraId="01842F4C" w14:textId="77777777">
            <w:pPr>
              <w:rPr>
                <w:rFonts w:ascii="Calibri" w:hAnsi="Calibri" w:cs="Arial"/>
                <w:color w:val="000000"/>
                <w:sz w:val="22"/>
                <w:szCs w:val="22"/>
              </w:rPr>
            </w:pPr>
            <w:r>
              <w:rPr>
                <w:rFonts w:ascii="Calibri" w:hAnsi="Calibri" w:cs="Arial"/>
                <w:color w:val="000000"/>
                <w:sz w:val="22"/>
                <w:szCs w:val="22"/>
              </w:rPr>
              <w:t>PG Cert Healthcare Practice - Part Time</w:t>
            </w:r>
          </w:p>
        </w:tc>
        <w:tc>
          <w:tcPr>
            <w:tcW w:w="1785" w:type="dxa"/>
          </w:tcPr>
          <w:p w:rsidRPr="00D70800" w:rsidR="004A43A7" w:rsidP="004A43A7" w:rsidRDefault="000F3300" w14:paraId="34402196" w14:textId="77777777">
            <w:pPr>
              <w:rPr>
                <w:rFonts w:ascii="Calibri" w:hAnsi="Calibri" w:cs="Arial"/>
                <w:color w:val="000000"/>
                <w:sz w:val="22"/>
                <w:szCs w:val="22"/>
              </w:rPr>
            </w:pPr>
            <w:r w:rsidRPr="00D70800">
              <w:rPr>
                <w:rFonts w:ascii="Calibri" w:hAnsi="Calibri" w:cs="Arial"/>
                <w:color w:val="000000"/>
                <w:sz w:val="22"/>
                <w:szCs w:val="22"/>
              </w:rPr>
              <w:t>33.33%</w:t>
            </w:r>
          </w:p>
        </w:tc>
      </w:tr>
      <w:tr w:rsidR="004A43A7" w:rsidTr="006D7520" w14:paraId="1A7F4833" w14:textId="77777777">
        <w:tc>
          <w:tcPr>
            <w:tcW w:w="2547" w:type="dxa"/>
          </w:tcPr>
          <w:p w:rsidRPr="00D70800" w:rsidR="004A43A7" w:rsidP="004A43A7" w:rsidRDefault="004A43A7" w14:paraId="7247E103" w14:textId="77777777">
            <w:pPr>
              <w:rPr>
                <w:rFonts w:ascii="Calibri" w:hAnsi="Calibri" w:cs="Arial"/>
                <w:color w:val="000000"/>
                <w:sz w:val="22"/>
                <w:szCs w:val="22"/>
              </w:rPr>
            </w:pPr>
            <w:r w:rsidRPr="00771B5D">
              <w:rPr>
                <w:rFonts w:ascii="Calibri" w:hAnsi="Calibri" w:cs="Arial"/>
                <w:color w:val="000000"/>
                <w:sz w:val="22"/>
                <w:szCs w:val="22"/>
              </w:rPr>
              <w:t>Allied Health and Nursing</w:t>
            </w:r>
          </w:p>
        </w:tc>
        <w:tc>
          <w:tcPr>
            <w:tcW w:w="4678" w:type="dxa"/>
          </w:tcPr>
          <w:p w:rsidRPr="006D7520" w:rsidR="004A43A7" w:rsidP="004A43A7" w:rsidRDefault="006D7520" w14:paraId="1D516A82" w14:textId="77777777">
            <w:pPr>
              <w:rPr>
                <w:rFonts w:ascii="Calibri" w:hAnsi="Calibri" w:cs="Arial"/>
                <w:color w:val="000000"/>
                <w:sz w:val="22"/>
                <w:szCs w:val="22"/>
              </w:rPr>
            </w:pPr>
            <w:proofErr w:type="spellStart"/>
            <w:r>
              <w:rPr>
                <w:rFonts w:ascii="Calibri" w:hAnsi="Calibri" w:cs="Arial"/>
                <w:color w:val="000000"/>
                <w:sz w:val="22"/>
                <w:szCs w:val="22"/>
              </w:rPr>
              <w:t>MRes</w:t>
            </w:r>
            <w:proofErr w:type="spellEnd"/>
            <w:r>
              <w:rPr>
                <w:rFonts w:ascii="Calibri" w:hAnsi="Calibri" w:cs="Arial"/>
                <w:color w:val="000000"/>
                <w:sz w:val="22"/>
                <w:szCs w:val="22"/>
              </w:rPr>
              <w:t xml:space="preserve"> Clinical Research - Part Time</w:t>
            </w:r>
          </w:p>
        </w:tc>
        <w:tc>
          <w:tcPr>
            <w:tcW w:w="1785" w:type="dxa"/>
          </w:tcPr>
          <w:p w:rsidRPr="00D70800" w:rsidR="004A43A7" w:rsidP="004A43A7" w:rsidRDefault="000F3300" w14:paraId="653C6716" w14:textId="77777777">
            <w:pPr>
              <w:rPr>
                <w:rFonts w:ascii="Calibri" w:hAnsi="Calibri" w:cs="Arial"/>
                <w:color w:val="000000"/>
                <w:sz w:val="22"/>
                <w:szCs w:val="22"/>
              </w:rPr>
            </w:pPr>
            <w:r w:rsidRPr="00D70800">
              <w:rPr>
                <w:rFonts w:ascii="Calibri" w:hAnsi="Calibri" w:cs="Arial"/>
                <w:color w:val="000000"/>
                <w:sz w:val="22"/>
                <w:szCs w:val="22"/>
              </w:rPr>
              <w:t>33.33%</w:t>
            </w:r>
          </w:p>
        </w:tc>
      </w:tr>
      <w:tr w:rsidR="004A43A7" w:rsidTr="006D7520" w14:paraId="510D87E3" w14:textId="77777777">
        <w:tc>
          <w:tcPr>
            <w:tcW w:w="2547" w:type="dxa"/>
          </w:tcPr>
          <w:p w:rsidRPr="00D70800" w:rsidR="004A43A7" w:rsidP="004A43A7" w:rsidRDefault="004A43A7" w14:paraId="15744818" w14:textId="77777777">
            <w:pPr>
              <w:rPr>
                <w:rFonts w:ascii="Calibri" w:hAnsi="Calibri" w:cs="Arial"/>
                <w:color w:val="000000"/>
                <w:sz w:val="22"/>
                <w:szCs w:val="22"/>
              </w:rPr>
            </w:pPr>
            <w:r w:rsidRPr="00771B5D">
              <w:rPr>
                <w:rFonts w:ascii="Calibri" w:hAnsi="Calibri" w:cs="Arial"/>
                <w:color w:val="000000"/>
                <w:sz w:val="22"/>
                <w:szCs w:val="22"/>
              </w:rPr>
              <w:t>Allied Health and Nursing</w:t>
            </w:r>
          </w:p>
        </w:tc>
        <w:tc>
          <w:tcPr>
            <w:tcW w:w="4678" w:type="dxa"/>
          </w:tcPr>
          <w:p w:rsidRPr="006D7520" w:rsidR="004A43A7" w:rsidP="004A43A7" w:rsidRDefault="006D7520" w14:paraId="0EE55E52" w14:textId="77777777">
            <w:pPr>
              <w:rPr>
                <w:rFonts w:ascii="Calibri" w:hAnsi="Calibri" w:cs="Arial"/>
                <w:color w:val="000000"/>
                <w:sz w:val="22"/>
                <w:szCs w:val="22"/>
              </w:rPr>
            </w:pPr>
            <w:r>
              <w:rPr>
                <w:rFonts w:ascii="Calibri" w:hAnsi="Calibri" w:cs="Arial"/>
                <w:color w:val="000000"/>
                <w:sz w:val="22"/>
                <w:szCs w:val="22"/>
              </w:rPr>
              <w:t xml:space="preserve">Integrated Degree </w:t>
            </w:r>
            <w:proofErr w:type="spellStart"/>
            <w:r>
              <w:rPr>
                <w:rFonts w:ascii="Calibri" w:hAnsi="Calibri" w:cs="Arial"/>
                <w:color w:val="000000"/>
                <w:sz w:val="22"/>
                <w:szCs w:val="22"/>
              </w:rPr>
              <w:t>Appr</w:t>
            </w:r>
            <w:proofErr w:type="spellEnd"/>
            <w:r>
              <w:rPr>
                <w:rFonts w:ascii="Calibri" w:hAnsi="Calibri" w:cs="Arial"/>
                <w:color w:val="000000"/>
                <w:sz w:val="22"/>
                <w:szCs w:val="22"/>
              </w:rPr>
              <w:t xml:space="preserve"> Adv Clinical Practitioner</w:t>
            </w:r>
          </w:p>
        </w:tc>
        <w:tc>
          <w:tcPr>
            <w:tcW w:w="1785" w:type="dxa"/>
          </w:tcPr>
          <w:p w:rsidRPr="00D70800" w:rsidR="004A43A7" w:rsidP="004A43A7" w:rsidRDefault="000F3300" w14:paraId="6F45982F" w14:textId="77777777">
            <w:pPr>
              <w:rPr>
                <w:rFonts w:ascii="Calibri" w:hAnsi="Calibri" w:cs="Arial"/>
                <w:color w:val="000000"/>
                <w:sz w:val="22"/>
                <w:szCs w:val="22"/>
              </w:rPr>
            </w:pPr>
            <w:r w:rsidRPr="00D70800">
              <w:rPr>
                <w:rFonts w:ascii="Calibri" w:hAnsi="Calibri" w:cs="Arial"/>
                <w:color w:val="000000"/>
                <w:sz w:val="22"/>
                <w:szCs w:val="22"/>
              </w:rPr>
              <w:t>26.09%</w:t>
            </w:r>
          </w:p>
        </w:tc>
      </w:tr>
      <w:tr w:rsidR="004A43A7" w:rsidTr="006D7520" w14:paraId="5A87D281" w14:textId="77777777">
        <w:tc>
          <w:tcPr>
            <w:tcW w:w="2547" w:type="dxa"/>
          </w:tcPr>
          <w:p w:rsidRPr="00D70800" w:rsidR="004A43A7" w:rsidP="004A43A7" w:rsidRDefault="004A43A7" w14:paraId="536CCE18" w14:textId="77777777">
            <w:pPr>
              <w:rPr>
                <w:rFonts w:ascii="Calibri" w:hAnsi="Calibri" w:cs="Arial"/>
                <w:color w:val="000000"/>
                <w:sz w:val="22"/>
                <w:szCs w:val="22"/>
              </w:rPr>
            </w:pPr>
            <w:r w:rsidRPr="00771B5D">
              <w:rPr>
                <w:rFonts w:ascii="Calibri" w:hAnsi="Calibri" w:cs="Arial"/>
                <w:color w:val="000000"/>
                <w:sz w:val="22"/>
                <w:szCs w:val="22"/>
              </w:rPr>
              <w:t>Allied Health and Nursing</w:t>
            </w:r>
          </w:p>
        </w:tc>
        <w:tc>
          <w:tcPr>
            <w:tcW w:w="4678" w:type="dxa"/>
          </w:tcPr>
          <w:p w:rsidRPr="006D7520" w:rsidR="004A43A7" w:rsidP="004A43A7" w:rsidRDefault="006D7520" w14:paraId="7423D88F" w14:textId="77777777">
            <w:pPr>
              <w:rPr>
                <w:rFonts w:ascii="Calibri" w:hAnsi="Calibri" w:cs="Arial"/>
                <w:color w:val="000000"/>
                <w:sz w:val="22"/>
                <w:szCs w:val="22"/>
              </w:rPr>
            </w:pPr>
            <w:r>
              <w:rPr>
                <w:rFonts w:ascii="Calibri" w:hAnsi="Calibri" w:cs="Arial"/>
                <w:color w:val="000000"/>
                <w:sz w:val="22"/>
                <w:szCs w:val="22"/>
              </w:rPr>
              <w:t>BSc Paramedic Science in Service 2 years</w:t>
            </w:r>
          </w:p>
        </w:tc>
        <w:tc>
          <w:tcPr>
            <w:tcW w:w="1785" w:type="dxa"/>
          </w:tcPr>
          <w:p w:rsidRPr="00D70800" w:rsidR="004A43A7" w:rsidP="004A43A7" w:rsidRDefault="000F3300" w14:paraId="11063052" w14:textId="77777777">
            <w:pPr>
              <w:rPr>
                <w:rFonts w:ascii="Calibri" w:hAnsi="Calibri" w:cs="Arial"/>
                <w:color w:val="000000"/>
                <w:sz w:val="22"/>
                <w:szCs w:val="22"/>
              </w:rPr>
            </w:pPr>
            <w:r w:rsidRPr="00D70800">
              <w:rPr>
                <w:rFonts w:ascii="Calibri" w:hAnsi="Calibri" w:cs="Arial"/>
                <w:color w:val="000000"/>
                <w:sz w:val="22"/>
                <w:szCs w:val="22"/>
              </w:rPr>
              <w:t>21.43%</w:t>
            </w:r>
          </w:p>
        </w:tc>
      </w:tr>
      <w:tr w:rsidR="004A43A7" w:rsidTr="006D7520" w14:paraId="6EEA0DAF" w14:textId="77777777">
        <w:tc>
          <w:tcPr>
            <w:tcW w:w="2547" w:type="dxa"/>
          </w:tcPr>
          <w:p w:rsidRPr="00D70800" w:rsidR="004A43A7" w:rsidP="004A43A7" w:rsidRDefault="004A43A7" w14:paraId="5EC875BD" w14:textId="77777777">
            <w:pPr>
              <w:rPr>
                <w:rFonts w:ascii="Calibri" w:hAnsi="Calibri" w:cs="Arial"/>
                <w:color w:val="000000"/>
                <w:sz w:val="22"/>
                <w:szCs w:val="22"/>
              </w:rPr>
            </w:pPr>
            <w:r w:rsidRPr="00771B5D">
              <w:rPr>
                <w:rFonts w:ascii="Calibri" w:hAnsi="Calibri" w:cs="Arial"/>
                <w:color w:val="000000"/>
                <w:sz w:val="22"/>
                <w:szCs w:val="22"/>
              </w:rPr>
              <w:t>Allied Health and Nursing</w:t>
            </w:r>
          </w:p>
        </w:tc>
        <w:tc>
          <w:tcPr>
            <w:tcW w:w="4678" w:type="dxa"/>
          </w:tcPr>
          <w:p w:rsidRPr="006D7520" w:rsidR="004A43A7" w:rsidP="004A43A7" w:rsidRDefault="006D7520" w14:paraId="465B70B7" w14:textId="77777777">
            <w:pPr>
              <w:rPr>
                <w:rFonts w:ascii="Calibri" w:hAnsi="Calibri" w:cs="Arial"/>
                <w:color w:val="000000"/>
                <w:sz w:val="22"/>
                <w:szCs w:val="22"/>
              </w:rPr>
            </w:pPr>
            <w:r>
              <w:rPr>
                <w:rFonts w:ascii="Calibri" w:hAnsi="Calibri" w:cs="Arial"/>
                <w:color w:val="000000"/>
                <w:sz w:val="22"/>
                <w:szCs w:val="22"/>
              </w:rPr>
              <w:t>FD in Healthcare Practice</w:t>
            </w:r>
          </w:p>
        </w:tc>
        <w:tc>
          <w:tcPr>
            <w:tcW w:w="1785" w:type="dxa"/>
          </w:tcPr>
          <w:p w:rsidRPr="00D70800" w:rsidR="004A43A7" w:rsidP="004A43A7" w:rsidRDefault="000F3300" w14:paraId="5D37BE0C" w14:textId="77777777">
            <w:pPr>
              <w:rPr>
                <w:rFonts w:ascii="Calibri" w:hAnsi="Calibri" w:cs="Arial"/>
                <w:color w:val="000000"/>
                <w:sz w:val="22"/>
                <w:szCs w:val="22"/>
              </w:rPr>
            </w:pPr>
            <w:r w:rsidRPr="00D70800">
              <w:rPr>
                <w:rFonts w:ascii="Calibri" w:hAnsi="Calibri" w:cs="Arial"/>
                <w:color w:val="000000"/>
                <w:sz w:val="22"/>
                <w:szCs w:val="22"/>
              </w:rPr>
              <w:t>18.75%</w:t>
            </w:r>
          </w:p>
        </w:tc>
      </w:tr>
      <w:tr w:rsidR="004A43A7" w:rsidTr="006D7520" w14:paraId="63ACA642" w14:textId="77777777">
        <w:tc>
          <w:tcPr>
            <w:tcW w:w="2547" w:type="dxa"/>
          </w:tcPr>
          <w:p w:rsidRPr="00D70800" w:rsidR="004A43A7" w:rsidP="004A43A7" w:rsidRDefault="004A43A7" w14:paraId="5A3C3CD9" w14:textId="77777777">
            <w:pPr>
              <w:rPr>
                <w:rFonts w:ascii="Calibri" w:hAnsi="Calibri" w:cs="Arial"/>
                <w:color w:val="000000"/>
                <w:sz w:val="22"/>
                <w:szCs w:val="22"/>
              </w:rPr>
            </w:pPr>
            <w:r w:rsidRPr="00771B5D">
              <w:rPr>
                <w:rFonts w:ascii="Calibri" w:hAnsi="Calibri" w:cs="Arial"/>
                <w:color w:val="000000"/>
                <w:sz w:val="22"/>
                <w:szCs w:val="22"/>
              </w:rPr>
              <w:t>Allied Health and Nursing</w:t>
            </w:r>
          </w:p>
        </w:tc>
        <w:tc>
          <w:tcPr>
            <w:tcW w:w="4678" w:type="dxa"/>
          </w:tcPr>
          <w:p w:rsidRPr="006D7520" w:rsidR="004A43A7" w:rsidP="004A43A7" w:rsidRDefault="006D7520" w14:paraId="2098CBB6" w14:textId="77777777">
            <w:pPr>
              <w:rPr>
                <w:rFonts w:ascii="Calibri" w:hAnsi="Calibri" w:cs="Arial"/>
                <w:color w:val="000000"/>
                <w:sz w:val="22"/>
                <w:szCs w:val="22"/>
              </w:rPr>
            </w:pPr>
            <w:r>
              <w:rPr>
                <w:rFonts w:ascii="Calibri" w:hAnsi="Calibri" w:cs="Arial"/>
                <w:color w:val="000000"/>
                <w:sz w:val="22"/>
                <w:szCs w:val="22"/>
              </w:rPr>
              <w:t>MSc Healthcare Practice - Part Time</w:t>
            </w:r>
          </w:p>
        </w:tc>
        <w:tc>
          <w:tcPr>
            <w:tcW w:w="1785" w:type="dxa"/>
          </w:tcPr>
          <w:p w:rsidRPr="00D70800" w:rsidR="004A43A7" w:rsidP="004A43A7" w:rsidRDefault="000F3300" w14:paraId="1A28D372" w14:textId="77777777">
            <w:pPr>
              <w:rPr>
                <w:rFonts w:ascii="Calibri" w:hAnsi="Calibri" w:cs="Arial"/>
                <w:color w:val="000000"/>
                <w:sz w:val="22"/>
                <w:szCs w:val="22"/>
              </w:rPr>
            </w:pPr>
            <w:r w:rsidRPr="00D70800">
              <w:rPr>
                <w:rFonts w:ascii="Calibri" w:hAnsi="Calibri" w:cs="Arial"/>
                <w:color w:val="000000"/>
                <w:sz w:val="22"/>
                <w:szCs w:val="22"/>
              </w:rPr>
              <w:t>16.95%</w:t>
            </w:r>
          </w:p>
        </w:tc>
      </w:tr>
      <w:tr w:rsidR="004A43A7" w:rsidTr="006D7520" w14:paraId="4344289B" w14:textId="77777777">
        <w:tc>
          <w:tcPr>
            <w:tcW w:w="2547" w:type="dxa"/>
          </w:tcPr>
          <w:p w:rsidRPr="00D70800" w:rsidR="004A43A7" w:rsidP="004A43A7" w:rsidRDefault="004A43A7" w14:paraId="387BA483" w14:textId="77777777">
            <w:pPr>
              <w:rPr>
                <w:rFonts w:ascii="Calibri" w:hAnsi="Calibri" w:cs="Arial"/>
                <w:color w:val="000000"/>
                <w:sz w:val="22"/>
                <w:szCs w:val="22"/>
              </w:rPr>
            </w:pPr>
            <w:r w:rsidRPr="00771B5D">
              <w:rPr>
                <w:rFonts w:ascii="Calibri" w:hAnsi="Calibri" w:cs="Arial"/>
                <w:color w:val="000000"/>
                <w:sz w:val="22"/>
                <w:szCs w:val="22"/>
              </w:rPr>
              <w:t>Allied Health and Nursing</w:t>
            </w:r>
          </w:p>
        </w:tc>
        <w:tc>
          <w:tcPr>
            <w:tcW w:w="4678" w:type="dxa"/>
          </w:tcPr>
          <w:p w:rsidRPr="006D7520" w:rsidR="004A43A7" w:rsidP="004A43A7" w:rsidRDefault="006D7520" w14:paraId="70C17194" w14:textId="77777777">
            <w:pPr>
              <w:rPr>
                <w:rFonts w:ascii="Calibri" w:hAnsi="Calibri" w:cs="Arial"/>
                <w:color w:val="000000"/>
                <w:sz w:val="22"/>
                <w:szCs w:val="22"/>
              </w:rPr>
            </w:pPr>
            <w:r>
              <w:rPr>
                <w:rFonts w:ascii="Calibri" w:hAnsi="Calibri" w:cs="Arial"/>
                <w:color w:val="000000"/>
                <w:sz w:val="22"/>
                <w:szCs w:val="22"/>
              </w:rPr>
              <w:t>Postgraduate Diploma Advanced Clinical Practice</w:t>
            </w:r>
          </w:p>
        </w:tc>
        <w:tc>
          <w:tcPr>
            <w:tcW w:w="1785" w:type="dxa"/>
          </w:tcPr>
          <w:p w:rsidRPr="00D70800" w:rsidR="004A43A7" w:rsidP="004A43A7" w:rsidRDefault="000F3300" w14:paraId="275532FA" w14:textId="77777777">
            <w:pPr>
              <w:rPr>
                <w:rFonts w:ascii="Calibri" w:hAnsi="Calibri" w:cs="Arial"/>
                <w:color w:val="000000"/>
                <w:sz w:val="22"/>
                <w:szCs w:val="22"/>
              </w:rPr>
            </w:pPr>
            <w:r w:rsidRPr="00D70800">
              <w:rPr>
                <w:rFonts w:ascii="Calibri" w:hAnsi="Calibri" w:cs="Arial"/>
                <w:color w:val="000000"/>
                <w:sz w:val="22"/>
                <w:szCs w:val="22"/>
              </w:rPr>
              <w:t>16.67%</w:t>
            </w:r>
          </w:p>
        </w:tc>
      </w:tr>
      <w:tr w:rsidR="004A43A7" w:rsidTr="006D7520" w14:paraId="03EC311F" w14:textId="77777777">
        <w:tc>
          <w:tcPr>
            <w:tcW w:w="2547" w:type="dxa"/>
          </w:tcPr>
          <w:p w:rsidRPr="00D70800" w:rsidR="004A43A7" w:rsidP="004A43A7" w:rsidRDefault="004A43A7" w14:paraId="3563390C" w14:textId="77777777">
            <w:pPr>
              <w:rPr>
                <w:rFonts w:ascii="Calibri" w:hAnsi="Calibri" w:cs="Arial"/>
                <w:color w:val="000000"/>
                <w:sz w:val="22"/>
                <w:szCs w:val="22"/>
              </w:rPr>
            </w:pPr>
            <w:r w:rsidRPr="00771B5D">
              <w:rPr>
                <w:rFonts w:ascii="Calibri" w:hAnsi="Calibri" w:cs="Arial"/>
                <w:color w:val="000000"/>
                <w:sz w:val="22"/>
                <w:szCs w:val="22"/>
              </w:rPr>
              <w:t>Allied Health and Nursing</w:t>
            </w:r>
          </w:p>
        </w:tc>
        <w:tc>
          <w:tcPr>
            <w:tcW w:w="4678" w:type="dxa"/>
          </w:tcPr>
          <w:p w:rsidRPr="006D7520" w:rsidR="004A43A7" w:rsidP="004A43A7" w:rsidRDefault="006D7520" w14:paraId="7C747D87" w14:textId="77777777">
            <w:pPr>
              <w:rPr>
                <w:rFonts w:ascii="Calibri" w:hAnsi="Calibri" w:cs="Arial"/>
                <w:color w:val="000000"/>
                <w:sz w:val="22"/>
                <w:szCs w:val="22"/>
              </w:rPr>
            </w:pPr>
            <w:r>
              <w:rPr>
                <w:rFonts w:ascii="Calibri" w:hAnsi="Calibri" w:cs="Arial"/>
                <w:color w:val="000000"/>
                <w:sz w:val="22"/>
                <w:szCs w:val="22"/>
              </w:rPr>
              <w:t>Graduate Cert Healthcare Practice - Part Time</w:t>
            </w:r>
          </w:p>
        </w:tc>
        <w:tc>
          <w:tcPr>
            <w:tcW w:w="1785" w:type="dxa"/>
          </w:tcPr>
          <w:p w:rsidRPr="00D70800" w:rsidR="004A43A7" w:rsidP="004A43A7" w:rsidRDefault="000F3300" w14:paraId="5D746906" w14:textId="77777777">
            <w:pPr>
              <w:rPr>
                <w:rFonts w:ascii="Calibri" w:hAnsi="Calibri" w:cs="Arial"/>
                <w:color w:val="000000"/>
                <w:sz w:val="22"/>
                <w:szCs w:val="22"/>
              </w:rPr>
            </w:pPr>
            <w:r w:rsidRPr="00D70800">
              <w:rPr>
                <w:rFonts w:ascii="Calibri" w:hAnsi="Calibri" w:cs="Arial"/>
                <w:color w:val="000000"/>
                <w:sz w:val="22"/>
                <w:szCs w:val="22"/>
              </w:rPr>
              <w:t>14.29%</w:t>
            </w:r>
          </w:p>
        </w:tc>
      </w:tr>
      <w:tr w:rsidR="000F3300" w:rsidTr="006D7520" w14:paraId="0C98F7C0" w14:textId="77777777">
        <w:tc>
          <w:tcPr>
            <w:tcW w:w="2547" w:type="dxa"/>
          </w:tcPr>
          <w:p w:rsidRPr="00771B5D" w:rsidR="000F3300" w:rsidP="000F3300" w:rsidRDefault="000F3300" w14:paraId="7714BA82" w14:textId="77777777">
            <w:pPr>
              <w:rPr>
                <w:rFonts w:ascii="Calibri" w:hAnsi="Calibri" w:cs="Arial"/>
                <w:color w:val="000000"/>
                <w:sz w:val="22"/>
                <w:szCs w:val="22"/>
              </w:rPr>
            </w:pPr>
            <w:r w:rsidRPr="00771B5D">
              <w:rPr>
                <w:rFonts w:ascii="Calibri" w:hAnsi="Calibri" w:cs="Arial"/>
                <w:color w:val="000000"/>
                <w:sz w:val="22"/>
                <w:szCs w:val="22"/>
              </w:rPr>
              <w:t>Allied Health and Nursing</w:t>
            </w:r>
          </w:p>
        </w:tc>
        <w:tc>
          <w:tcPr>
            <w:tcW w:w="4678" w:type="dxa"/>
          </w:tcPr>
          <w:p w:rsidR="000F3300" w:rsidP="000F3300" w:rsidRDefault="000F3300" w14:paraId="1BE7153A" w14:textId="77777777">
            <w:pPr>
              <w:rPr>
                <w:rFonts w:ascii="Calibri" w:hAnsi="Calibri" w:cs="Arial"/>
                <w:color w:val="000000"/>
                <w:sz w:val="22"/>
                <w:szCs w:val="22"/>
              </w:rPr>
            </w:pPr>
            <w:r>
              <w:rPr>
                <w:rFonts w:ascii="Calibri" w:hAnsi="Calibri" w:cs="Arial"/>
                <w:color w:val="000000"/>
                <w:sz w:val="22"/>
                <w:szCs w:val="22"/>
              </w:rPr>
              <w:t>BSc (Hons) Healthcare Practice - Part Time</w:t>
            </w:r>
          </w:p>
        </w:tc>
        <w:tc>
          <w:tcPr>
            <w:tcW w:w="1785" w:type="dxa"/>
          </w:tcPr>
          <w:p w:rsidRPr="00D70800" w:rsidR="000F3300" w:rsidP="000F3300" w:rsidRDefault="000F3300" w14:paraId="196C6C2C" w14:textId="77777777">
            <w:pPr>
              <w:rPr>
                <w:rFonts w:ascii="Calibri" w:hAnsi="Calibri" w:cs="Arial"/>
                <w:color w:val="000000"/>
                <w:sz w:val="22"/>
                <w:szCs w:val="22"/>
              </w:rPr>
            </w:pPr>
            <w:r w:rsidRPr="00D70800">
              <w:rPr>
                <w:rFonts w:ascii="Calibri" w:hAnsi="Calibri" w:cs="Arial"/>
                <w:color w:val="000000"/>
                <w:sz w:val="22"/>
                <w:szCs w:val="22"/>
              </w:rPr>
              <w:t>12.50%</w:t>
            </w:r>
          </w:p>
        </w:tc>
      </w:tr>
      <w:tr w:rsidR="000F3300" w:rsidTr="006D7520" w14:paraId="5259A705" w14:textId="77777777">
        <w:tc>
          <w:tcPr>
            <w:tcW w:w="2547" w:type="dxa"/>
          </w:tcPr>
          <w:p w:rsidRPr="00D70800" w:rsidR="000F3300" w:rsidP="000F3300" w:rsidRDefault="000F3300" w14:paraId="52B096AF" w14:textId="77777777">
            <w:pPr>
              <w:rPr>
                <w:rFonts w:ascii="Calibri" w:hAnsi="Calibri" w:cs="Arial"/>
                <w:color w:val="000000"/>
                <w:sz w:val="22"/>
                <w:szCs w:val="22"/>
              </w:rPr>
            </w:pPr>
            <w:r w:rsidRPr="00771B5D">
              <w:rPr>
                <w:rFonts w:ascii="Calibri" w:hAnsi="Calibri" w:cs="Arial"/>
                <w:color w:val="000000"/>
                <w:sz w:val="22"/>
                <w:szCs w:val="22"/>
              </w:rPr>
              <w:t>Allied Health and Nursing</w:t>
            </w:r>
          </w:p>
        </w:tc>
        <w:tc>
          <w:tcPr>
            <w:tcW w:w="4678" w:type="dxa"/>
          </w:tcPr>
          <w:p w:rsidRPr="006D7520" w:rsidR="000F3300" w:rsidP="000F3300" w:rsidRDefault="000F3300" w14:paraId="2445AFD9" w14:textId="77777777">
            <w:pPr>
              <w:rPr>
                <w:rFonts w:ascii="Calibri" w:hAnsi="Calibri" w:cs="Arial"/>
                <w:color w:val="000000"/>
                <w:sz w:val="22"/>
                <w:szCs w:val="22"/>
              </w:rPr>
            </w:pPr>
            <w:r>
              <w:rPr>
                <w:rFonts w:ascii="Calibri" w:hAnsi="Calibri" w:cs="Arial"/>
                <w:color w:val="000000"/>
                <w:sz w:val="22"/>
                <w:szCs w:val="22"/>
              </w:rPr>
              <w:t>BSc Paramedic Science in Service 3 years</w:t>
            </w:r>
          </w:p>
        </w:tc>
        <w:tc>
          <w:tcPr>
            <w:tcW w:w="1785" w:type="dxa"/>
          </w:tcPr>
          <w:p w:rsidRPr="00D70800" w:rsidR="000F3300" w:rsidP="000F3300" w:rsidRDefault="000F3300" w14:paraId="3A174C5D" w14:textId="77777777">
            <w:pPr>
              <w:rPr>
                <w:rFonts w:ascii="Calibri" w:hAnsi="Calibri" w:cs="Arial"/>
                <w:color w:val="000000"/>
                <w:sz w:val="22"/>
                <w:szCs w:val="22"/>
              </w:rPr>
            </w:pPr>
            <w:r w:rsidRPr="00D70800">
              <w:rPr>
                <w:rFonts w:ascii="Calibri" w:hAnsi="Calibri" w:cs="Arial"/>
                <w:color w:val="000000"/>
                <w:sz w:val="22"/>
                <w:szCs w:val="22"/>
              </w:rPr>
              <w:t>50%</w:t>
            </w:r>
          </w:p>
        </w:tc>
      </w:tr>
      <w:tr w:rsidR="000F3300" w:rsidTr="006D7520" w14:paraId="64DD4A06" w14:textId="77777777">
        <w:tc>
          <w:tcPr>
            <w:tcW w:w="2547" w:type="dxa"/>
          </w:tcPr>
          <w:p w:rsidRPr="00D70800" w:rsidR="000F3300" w:rsidP="000F3300" w:rsidRDefault="000F3300" w14:paraId="29E0A5EC" w14:textId="77777777">
            <w:pPr>
              <w:rPr>
                <w:rFonts w:ascii="Calibri" w:hAnsi="Calibri" w:cs="Arial"/>
                <w:color w:val="000000"/>
                <w:sz w:val="22"/>
                <w:szCs w:val="22"/>
              </w:rPr>
            </w:pPr>
            <w:r w:rsidRPr="00771B5D">
              <w:rPr>
                <w:rFonts w:ascii="Calibri" w:hAnsi="Calibri" w:cs="Arial"/>
                <w:color w:val="000000"/>
                <w:sz w:val="22"/>
                <w:szCs w:val="22"/>
              </w:rPr>
              <w:t>Allied Health and Nursing</w:t>
            </w:r>
          </w:p>
        </w:tc>
        <w:tc>
          <w:tcPr>
            <w:tcW w:w="4678" w:type="dxa"/>
          </w:tcPr>
          <w:p w:rsidRPr="006D7520" w:rsidR="000F3300" w:rsidP="000F3300" w:rsidRDefault="000F3300" w14:paraId="6AFC85A9" w14:textId="77777777">
            <w:pPr>
              <w:rPr>
                <w:rFonts w:ascii="Calibri" w:hAnsi="Calibri" w:cs="Arial"/>
                <w:color w:val="000000"/>
                <w:sz w:val="22"/>
                <w:szCs w:val="22"/>
              </w:rPr>
            </w:pPr>
            <w:r>
              <w:rPr>
                <w:rFonts w:ascii="Calibri" w:hAnsi="Calibri" w:cs="Arial"/>
                <w:color w:val="000000"/>
                <w:sz w:val="22"/>
                <w:szCs w:val="22"/>
              </w:rPr>
              <w:t xml:space="preserve">MSc Advanced Clinical Practice (Degree </w:t>
            </w:r>
            <w:proofErr w:type="spellStart"/>
            <w:r>
              <w:rPr>
                <w:rFonts w:ascii="Calibri" w:hAnsi="Calibri" w:cs="Arial"/>
                <w:color w:val="000000"/>
                <w:sz w:val="22"/>
                <w:szCs w:val="22"/>
              </w:rPr>
              <w:t>Appr</w:t>
            </w:r>
            <w:proofErr w:type="spellEnd"/>
            <w:r>
              <w:rPr>
                <w:rFonts w:ascii="Calibri" w:hAnsi="Calibri" w:cs="Arial"/>
                <w:color w:val="000000"/>
                <w:sz w:val="22"/>
                <w:szCs w:val="22"/>
              </w:rPr>
              <w:t>)</w:t>
            </w:r>
          </w:p>
        </w:tc>
        <w:tc>
          <w:tcPr>
            <w:tcW w:w="1785" w:type="dxa"/>
          </w:tcPr>
          <w:p w:rsidRPr="00D70800" w:rsidR="000F3300" w:rsidP="000F3300" w:rsidRDefault="000F3300" w14:paraId="17DCED26" w14:textId="77777777">
            <w:pPr>
              <w:rPr>
                <w:rFonts w:ascii="Calibri" w:hAnsi="Calibri" w:cs="Arial"/>
                <w:color w:val="000000"/>
                <w:sz w:val="22"/>
                <w:szCs w:val="22"/>
              </w:rPr>
            </w:pPr>
            <w:r w:rsidRPr="00D70800">
              <w:rPr>
                <w:rFonts w:ascii="Calibri" w:hAnsi="Calibri" w:cs="Arial"/>
                <w:color w:val="000000"/>
                <w:sz w:val="22"/>
                <w:szCs w:val="22"/>
              </w:rPr>
              <w:t>20%</w:t>
            </w:r>
          </w:p>
        </w:tc>
      </w:tr>
    </w:tbl>
    <w:p w:rsidR="004A43A7" w:rsidP="00A92900" w:rsidRDefault="004A43A7" w14:paraId="0562CB0E" w14:textId="77777777">
      <w:pPr>
        <w:rPr>
          <w:b/>
        </w:rPr>
      </w:pPr>
    </w:p>
    <w:tbl>
      <w:tblPr>
        <w:tblStyle w:val="TableGrid"/>
        <w:tblW w:w="0" w:type="auto"/>
        <w:tblLook w:val="04A0" w:firstRow="1" w:lastRow="0" w:firstColumn="1" w:lastColumn="0" w:noHBand="0" w:noVBand="1"/>
      </w:tblPr>
      <w:tblGrid>
        <w:gridCol w:w="2547"/>
        <w:gridCol w:w="4678"/>
        <w:gridCol w:w="1785"/>
      </w:tblGrid>
      <w:tr w:rsidR="000F3300" w:rsidTr="00546C48" w14:paraId="3E10CDA6" w14:textId="77777777">
        <w:tc>
          <w:tcPr>
            <w:tcW w:w="2547" w:type="dxa"/>
          </w:tcPr>
          <w:p w:rsidR="000F3300" w:rsidP="000F3300" w:rsidRDefault="000F3300" w14:paraId="60BCC0B5" w14:textId="77777777">
            <w:pPr>
              <w:rPr>
                <w:b/>
              </w:rPr>
            </w:pPr>
            <w:r>
              <w:rPr>
                <w:b/>
              </w:rPr>
              <w:t>Departmental Board</w:t>
            </w:r>
          </w:p>
        </w:tc>
        <w:tc>
          <w:tcPr>
            <w:tcW w:w="4678" w:type="dxa"/>
          </w:tcPr>
          <w:p w:rsidR="000F3300" w:rsidP="000F3300" w:rsidRDefault="000F3300" w14:paraId="54633D55" w14:textId="77777777">
            <w:pPr>
              <w:rPr>
                <w:b/>
              </w:rPr>
            </w:pPr>
            <w:r>
              <w:rPr>
                <w:b/>
              </w:rPr>
              <w:t>Course</w:t>
            </w:r>
          </w:p>
        </w:tc>
        <w:tc>
          <w:tcPr>
            <w:tcW w:w="1785" w:type="dxa"/>
          </w:tcPr>
          <w:p w:rsidR="000F3300" w:rsidP="000F3300" w:rsidRDefault="000F3300" w14:paraId="54FB3463" w14:textId="77777777">
            <w:pPr>
              <w:rPr>
                <w:b/>
              </w:rPr>
            </w:pPr>
            <w:r>
              <w:rPr>
                <w:b/>
              </w:rPr>
              <w:t xml:space="preserve">Activation rate </w:t>
            </w:r>
          </w:p>
        </w:tc>
      </w:tr>
      <w:tr w:rsidR="000F3300" w:rsidTr="00D41584" w14:paraId="7FDEF992" w14:textId="77777777">
        <w:trPr>
          <w:trHeight w:val="99"/>
        </w:trPr>
        <w:tc>
          <w:tcPr>
            <w:tcW w:w="2547" w:type="dxa"/>
          </w:tcPr>
          <w:p w:rsidRPr="00724312" w:rsidR="000F3300" w:rsidP="000F3300" w:rsidRDefault="000F3300" w14:paraId="19B0809E" w14:textId="77777777">
            <w:pPr>
              <w:rPr>
                <w:rFonts w:ascii="Calibri" w:hAnsi="Calibri" w:cs="Arial"/>
                <w:color w:val="000000"/>
                <w:sz w:val="22"/>
                <w:szCs w:val="22"/>
                <w:highlight w:val="green"/>
              </w:rPr>
            </w:pPr>
            <w:r w:rsidRPr="00724312">
              <w:rPr>
                <w:rFonts w:ascii="Calibri" w:hAnsi="Calibri" w:cs="Arial"/>
                <w:color w:val="000000"/>
                <w:sz w:val="22"/>
                <w:szCs w:val="22"/>
                <w:highlight w:val="green"/>
              </w:rPr>
              <w:t>Medicine</w:t>
            </w:r>
          </w:p>
        </w:tc>
        <w:tc>
          <w:tcPr>
            <w:tcW w:w="4678" w:type="dxa"/>
          </w:tcPr>
          <w:p w:rsidRPr="00724312" w:rsidR="000F3300" w:rsidP="000F3300" w:rsidRDefault="000F3300" w14:paraId="2A3719D6" w14:textId="77777777">
            <w:pPr>
              <w:rPr>
                <w:rFonts w:ascii="Calibri" w:hAnsi="Calibri" w:cs="Arial"/>
                <w:color w:val="000000"/>
                <w:sz w:val="22"/>
                <w:szCs w:val="22"/>
                <w:highlight w:val="green"/>
              </w:rPr>
            </w:pPr>
            <w:r w:rsidRPr="00724312">
              <w:rPr>
                <w:rFonts w:ascii="Calibri" w:hAnsi="Calibri" w:cs="Arial"/>
                <w:color w:val="000000"/>
                <w:sz w:val="22"/>
                <w:szCs w:val="22"/>
                <w:highlight w:val="green"/>
              </w:rPr>
              <w:t>MBBS5</w:t>
            </w:r>
          </w:p>
        </w:tc>
        <w:tc>
          <w:tcPr>
            <w:tcW w:w="1785" w:type="dxa"/>
          </w:tcPr>
          <w:p w:rsidRPr="00724312" w:rsidR="000F3300" w:rsidP="000F3300" w:rsidRDefault="000F3300" w14:paraId="468E7AE6" w14:textId="77777777">
            <w:pPr>
              <w:rPr>
                <w:rFonts w:ascii="Calibri" w:hAnsi="Calibri" w:cs="Arial"/>
                <w:color w:val="000000"/>
                <w:sz w:val="22"/>
                <w:szCs w:val="22"/>
                <w:highlight w:val="green"/>
              </w:rPr>
            </w:pPr>
            <w:r w:rsidRPr="00724312">
              <w:rPr>
                <w:rFonts w:ascii="Calibri" w:hAnsi="Calibri" w:cs="Arial"/>
                <w:color w:val="000000"/>
                <w:sz w:val="22"/>
                <w:szCs w:val="22"/>
                <w:highlight w:val="green"/>
              </w:rPr>
              <w:t>87.22%</w:t>
            </w:r>
          </w:p>
        </w:tc>
      </w:tr>
      <w:tr w:rsidR="000F3300" w:rsidTr="00546C48" w14:paraId="7ABE710C" w14:textId="77777777">
        <w:tc>
          <w:tcPr>
            <w:tcW w:w="2547" w:type="dxa"/>
          </w:tcPr>
          <w:p w:rsidRPr="00724312" w:rsidR="000F3300" w:rsidP="000F3300" w:rsidRDefault="000F3300" w14:paraId="136791B5" w14:textId="77777777">
            <w:pPr>
              <w:rPr>
                <w:rFonts w:ascii="Calibri" w:hAnsi="Calibri" w:cs="Arial"/>
                <w:color w:val="000000"/>
                <w:sz w:val="22"/>
                <w:szCs w:val="22"/>
                <w:highlight w:val="green"/>
              </w:rPr>
            </w:pPr>
            <w:r w:rsidRPr="00724312">
              <w:rPr>
                <w:rFonts w:ascii="Calibri" w:hAnsi="Calibri" w:cs="Arial"/>
                <w:color w:val="000000"/>
                <w:sz w:val="22"/>
                <w:szCs w:val="22"/>
                <w:highlight w:val="green"/>
              </w:rPr>
              <w:t>Medicine</w:t>
            </w:r>
          </w:p>
        </w:tc>
        <w:tc>
          <w:tcPr>
            <w:tcW w:w="4678" w:type="dxa"/>
          </w:tcPr>
          <w:p w:rsidRPr="00724312" w:rsidR="000F3300" w:rsidP="000F3300" w:rsidRDefault="000F3300" w14:paraId="367279B1" w14:textId="77777777">
            <w:pPr>
              <w:rPr>
                <w:rFonts w:ascii="Calibri" w:hAnsi="Calibri" w:cs="Arial"/>
                <w:color w:val="000000"/>
                <w:sz w:val="22"/>
                <w:szCs w:val="22"/>
                <w:highlight w:val="green"/>
              </w:rPr>
            </w:pPr>
            <w:r w:rsidRPr="00724312">
              <w:rPr>
                <w:rFonts w:ascii="Calibri" w:hAnsi="Calibri" w:cs="Arial"/>
                <w:color w:val="000000"/>
                <w:sz w:val="22"/>
                <w:szCs w:val="22"/>
                <w:highlight w:val="green"/>
              </w:rPr>
              <w:t>MBBS4</w:t>
            </w:r>
          </w:p>
        </w:tc>
        <w:tc>
          <w:tcPr>
            <w:tcW w:w="1785" w:type="dxa"/>
          </w:tcPr>
          <w:p w:rsidRPr="00724312" w:rsidR="000F3300" w:rsidP="000F3300" w:rsidRDefault="000F3300" w14:paraId="425B4152" w14:textId="77777777">
            <w:pPr>
              <w:rPr>
                <w:rFonts w:ascii="Calibri" w:hAnsi="Calibri" w:cs="Arial"/>
                <w:color w:val="000000"/>
                <w:sz w:val="22"/>
                <w:szCs w:val="22"/>
                <w:highlight w:val="green"/>
              </w:rPr>
            </w:pPr>
            <w:r w:rsidRPr="00724312">
              <w:rPr>
                <w:rFonts w:ascii="Calibri" w:hAnsi="Calibri" w:cs="Arial"/>
                <w:color w:val="000000"/>
                <w:sz w:val="22"/>
                <w:szCs w:val="22"/>
                <w:highlight w:val="green"/>
              </w:rPr>
              <w:t>83.83%</w:t>
            </w:r>
          </w:p>
        </w:tc>
      </w:tr>
      <w:tr w:rsidR="000F3300" w:rsidTr="00546C48" w14:paraId="5CC5401E" w14:textId="77777777">
        <w:tc>
          <w:tcPr>
            <w:tcW w:w="2547" w:type="dxa"/>
          </w:tcPr>
          <w:p w:rsidRPr="00203941" w:rsidR="000F3300" w:rsidP="000F3300" w:rsidRDefault="000F3300" w14:paraId="1268BF49" w14:textId="77777777">
            <w:pPr>
              <w:rPr>
                <w:rFonts w:ascii="Calibri" w:hAnsi="Calibri" w:cs="Arial"/>
                <w:color w:val="000000"/>
                <w:sz w:val="22"/>
                <w:szCs w:val="22"/>
                <w:highlight w:val="yellow"/>
              </w:rPr>
            </w:pPr>
            <w:r w:rsidRPr="00203941">
              <w:rPr>
                <w:rFonts w:ascii="Calibri" w:hAnsi="Calibri" w:cs="Arial"/>
                <w:color w:val="000000"/>
                <w:sz w:val="22"/>
                <w:szCs w:val="22"/>
                <w:highlight w:val="yellow"/>
              </w:rPr>
              <w:t>Medicine</w:t>
            </w:r>
          </w:p>
        </w:tc>
        <w:tc>
          <w:tcPr>
            <w:tcW w:w="4678" w:type="dxa"/>
          </w:tcPr>
          <w:p w:rsidRPr="00203941" w:rsidR="000F3300" w:rsidP="000F3300" w:rsidRDefault="000F3300" w14:paraId="0D61BA96" w14:textId="77777777">
            <w:pPr>
              <w:rPr>
                <w:rFonts w:ascii="Calibri" w:hAnsi="Calibri" w:cs="Arial"/>
                <w:color w:val="000000"/>
                <w:sz w:val="22"/>
                <w:szCs w:val="22"/>
                <w:highlight w:val="yellow"/>
              </w:rPr>
            </w:pPr>
            <w:r w:rsidRPr="00203941">
              <w:rPr>
                <w:rFonts w:ascii="Calibri" w:hAnsi="Calibri" w:cs="Arial"/>
                <w:color w:val="000000"/>
                <w:sz w:val="22"/>
                <w:szCs w:val="22"/>
                <w:highlight w:val="yellow"/>
              </w:rPr>
              <w:t>International MBBS</w:t>
            </w:r>
          </w:p>
        </w:tc>
        <w:tc>
          <w:tcPr>
            <w:tcW w:w="1785" w:type="dxa"/>
          </w:tcPr>
          <w:p w:rsidRPr="00203941" w:rsidR="000F3300" w:rsidP="000F3300" w:rsidRDefault="000F3300" w14:paraId="773E40BB" w14:textId="77777777">
            <w:pPr>
              <w:rPr>
                <w:rFonts w:ascii="Calibri" w:hAnsi="Calibri" w:cs="Arial"/>
                <w:color w:val="000000"/>
                <w:sz w:val="22"/>
                <w:szCs w:val="22"/>
                <w:highlight w:val="yellow"/>
              </w:rPr>
            </w:pPr>
            <w:r w:rsidRPr="00203941">
              <w:rPr>
                <w:rFonts w:ascii="Calibri" w:hAnsi="Calibri" w:cs="Arial"/>
                <w:color w:val="000000"/>
                <w:sz w:val="22"/>
                <w:szCs w:val="22"/>
                <w:highlight w:val="yellow"/>
              </w:rPr>
              <w:t>88%</w:t>
            </w:r>
          </w:p>
        </w:tc>
      </w:tr>
    </w:tbl>
    <w:p w:rsidR="000F3300" w:rsidP="00A92900" w:rsidRDefault="000F3300" w14:paraId="34CE0A41" w14:textId="77777777">
      <w:pPr>
        <w:rPr>
          <w:b/>
        </w:rPr>
      </w:pPr>
    </w:p>
    <w:tbl>
      <w:tblPr>
        <w:tblStyle w:val="TableGrid"/>
        <w:tblW w:w="0" w:type="auto"/>
        <w:tblLook w:val="04A0" w:firstRow="1" w:lastRow="0" w:firstColumn="1" w:lastColumn="0" w:noHBand="0" w:noVBand="1"/>
      </w:tblPr>
      <w:tblGrid>
        <w:gridCol w:w="2547"/>
        <w:gridCol w:w="4678"/>
        <w:gridCol w:w="1785"/>
      </w:tblGrid>
      <w:tr w:rsidR="00D36A57" w:rsidTr="00546C48" w14:paraId="3396F8C3" w14:textId="77777777">
        <w:tc>
          <w:tcPr>
            <w:tcW w:w="2547" w:type="dxa"/>
          </w:tcPr>
          <w:p w:rsidR="00D36A57" w:rsidP="00D36A57" w:rsidRDefault="00D36A57" w14:paraId="07C5292C" w14:textId="77777777">
            <w:pPr>
              <w:rPr>
                <w:b/>
              </w:rPr>
            </w:pPr>
            <w:r>
              <w:rPr>
                <w:b/>
              </w:rPr>
              <w:t>Departmental Board</w:t>
            </w:r>
          </w:p>
        </w:tc>
        <w:tc>
          <w:tcPr>
            <w:tcW w:w="4678" w:type="dxa"/>
          </w:tcPr>
          <w:p w:rsidR="00D36A57" w:rsidP="00D36A57" w:rsidRDefault="00D36A57" w14:paraId="137FFC1E" w14:textId="77777777">
            <w:pPr>
              <w:rPr>
                <w:b/>
              </w:rPr>
            </w:pPr>
            <w:r>
              <w:rPr>
                <w:b/>
              </w:rPr>
              <w:t>Course</w:t>
            </w:r>
          </w:p>
        </w:tc>
        <w:tc>
          <w:tcPr>
            <w:tcW w:w="1785" w:type="dxa"/>
          </w:tcPr>
          <w:p w:rsidR="00D36A57" w:rsidP="00D36A57" w:rsidRDefault="00D36A57" w14:paraId="35BFF230" w14:textId="77777777">
            <w:pPr>
              <w:rPr>
                <w:b/>
              </w:rPr>
            </w:pPr>
            <w:r>
              <w:rPr>
                <w:b/>
              </w:rPr>
              <w:t xml:space="preserve">Activation rate </w:t>
            </w:r>
          </w:p>
        </w:tc>
      </w:tr>
      <w:tr w:rsidR="00D36A57" w:rsidTr="00546C48" w14:paraId="22727937" w14:textId="77777777">
        <w:tc>
          <w:tcPr>
            <w:tcW w:w="2547" w:type="dxa"/>
          </w:tcPr>
          <w:p w:rsidRPr="00546C48" w:rsidR="00D36A57" w:rsidP="00D36A57" w:rsidRDefault="00D36A57" w14:paraId="1BAACECC" w14:textId="77777777">
            <w:pPr>
              <w:rPr>
                <w:sz w:val="22"/>
                <w:szCs w:val="22"/>
              </w:rPr>
            </w:pPr>
            <w:r w:rsidRPr="00546C48">
              <w:rPr>
                <w:sz w:val="22"/>
                <w:szCs w:val="22"/>
              </w:rPr>
              <w:t>Postgraduate School</w:t>
            </w:r>
          </w:p>
        </w:tc>
        <w:tc>
          <w:tcPr>
            <w:tcW w:w="4678" w:type="dxa"/>
          </w:tcPr>
          <w:p w:rsidRPr="00546C48" w:rsidR="00D36A57" w:rsidP="00D36A57" w:rsidRDefault="007F3C31" w14:paraId="02F3FD5B" w14:textId="77777777">
            <w:pPr>
              <w:rPr>
                <w:sz w:val="22"/>
                <w:szCs w:val="22"/>
              </w:rPr>
            </w:pPr>
            <w:proofErr w:type="spellStart"/>
            <w:r w:rsidRPr="00546C48">
              <w:rPr>
                <w:sz w:val="22"/>
                <w:szCs w:val="22"/>
              </w:rPr>
              <w:t>MRes</w:t>
            </w:r>
            <w:proofErr w:type="spellEnd"/>
            <w:r w:rsidRPr="00546C48">
              <w:rPr>
                <w:sz w:val="22"/>
                <w:szCs w:val="22"/>
              </w:rPr>
              <w:t xml:space="preserve"> in Biomedical Sciences</w:t>
            </w:r>
          </w:p>
        </w:tc>
        <w:tc>
          <w:tcPr>
            <w:tcW w:w="1785" w:type="dxa"/>
          </w:tcPr>
          <w:p w:rsidRPr="00546C48" w:rsidR="00D36A57" w:rsidP="00D36A57" w:rsidRDefault="00546C48" w14:paraId="3481C597" w14:textId="77777777">
            <w:pPr>
              <w:rPr>
                <w:sz w:val="22"/>
                <w:szCs w:val="22"/>
              </w:rPr>
            </w:pPr>
            <w:r w:rsidRPr="00546C48">
              <w:rPr>
                <w:sz w:val="22"/>
                <w:szCs w:val="22"/>
              </w:rPr>
              <w:t>57.69%</w:t>
            </w:r>
          </w:p>
        </w:tc>
      </w:tr>
      <w:tr w:rsidR="00D36A57" w:rsidTr="00546C48" w14:paraId="74C9FE53" w14:textId="77777777">
        <w:tc>
          <w:tcPr>
            <w:tcW w:w="2547" w:type="dxa"/>
          </w:tcPr>
          <w:p w:rsidRPr="00546C48" w:rsidR="00D36A57" w:rsidP="00D36A57" w:rsidRDefault="00D36A57" w14:paraId="49AE652D" w14:textId="77777777">
            <w:pPr>
              <w:rPr>
                <w:sz w:val="22"/>
                <w:szCs w:val="22"/>
              </w:rPr>
            </w:pPr>
            <w:r w:rsidRPr="00546C48">
              <w:rPr>
                <w:sz w:val="22"/>
                <w:szCs w:val="22"/>
              </w:rPr>
              <w:t>Postgraduate School</w:t>
            </w:r>
          </w:p>
        </w:tc>
        <w:tc>
          <w:tcPr>
            <w:tcW w:w="4678" w:type="dxa"/>
          </w:tcPr>
          <w:p w:rsidRPr="00546C48" w:rsidR="00D36A57" w:rsidP="00D36A57" w:rsidRDefault="007F3C31" w14:paraId="57782E50" w14:textId="77777777">
            <w:pPr>
              <w:rPr>
                <w:sz w:val="22"/>
                <w:szCs w:val="22"/>
              </w:rPr>
            </w:pPr>
            <w:r w:rsidRPr="00546C48">
              <w:rPr>
                <w:sz w:val="22"/>
                <w:szCs w:val="22"/>
              </w:rPr>
              <w:t>MSc in Global Health FT</w:t>
            </w:r>
          </w:p>
        </w:tc>
        <w:tc>
          <w:tcPr>
            <w:tcW w:w="1785" w:type="dxa"/>
          </w:tcPr>
          <w:p w:rsidRPr="00546C48" w:rsidR="00D36A57" w:rsidP="00D36A57" w:rsidRDefault="00546C48" w14:paraId="25BDDAA3" w14:textId="77777777">
            <w:pPr>
              <w:rPr>
                <w:sz w:val="22"/>
                <w:szCs w:val="22"/>
              </w:rPr>
            </w:pPr>
            <w:r w:rsidRPr="00546C48">
              <w:rPr>
                <w:sz w:val="22"/>
                <w:szCs w:val="22"/>
              </w:rPr>
              <w:t>54.05%</w:t>
            </w:r>
          </w:p>
        </w:tc>
      </w:tr>
      <w:tr w:rsidR="00D36A57" w:rsidTr="00546C48" w14:paraId="3A5562C9" w14:textId="77777777">
        <w:tc>
          <w:tcPr>
            <w:tcW w:w="2547" w:type="dxa"/>
          </w:tcPr>
          <w:p w:rsidRPr="00546C48" w:rsidR="00D36A57" w:rsidP="00D36A57" w:rsidRDefault="00D36A57" w14:paraId="7A7775EA" w14:textId="77777777">
            <w:pPr>
              <w:rPr>
                <w:sz w:val="22"/>
                <w:szCs w:val="22"/>
              </w:rPr>
            </w:pPr>
            <w:r w:rsidRPr="00546C48">
              <w:rPr>
                <w:sz w:val="22"/>
                <w:szCs w:val="22"/>
              </w:rPr>
              <w:t>Postgraduate School</w:t>
            </w:r>
          </w:p>
        </w:tc>
        <w:tc>
          <w:tcPr>
            <w:tcW w:w="4678" w:type="dxa"/>
          </w:tcPr>
          <w:p w:rsidRPr="00546C48" w:rsidR="00D36A57" w:rsidP="00D36A57" w:rsidRDefault="00546C48" w14:paraId="4E16B63A" w14:textId="77777777">
            <w:pPr>
              <w:rPr>
                <w:sz w:val="22"/>
                <w:szCs w:val="22"/>
              </w:rPr>
            </w:pPr>
            <w:r w:rsidRPr="00546C48">
              <w:rPr>
                <w:sz w:val="22"/>
                <w:szCs w:val="22"/>
              </w:rPr>
              <w:t>Genomic Medicine Modules</w:t>
            </w:r>
          </w:p>
        </w:tc>
        <w:tc>
          <w:tcPr>
            <w:tcW w:w="1785" w:type="dxa"/>
          </w:tcPr>
          <w:p w:rsidRPr="00546C48" w:rsidR="00D36A57" w:rsidP="00D36A57" w:rsidRDefault="00546C48" w14:paraId="35933124" w14:textId="77777777">
            <w:pPr>
              <w:rPr>
                <w:sz w:val="22"/>
                <w:szCs w:val="22"/>
              </w:rPr>
            </w:pPr>
            <w:r w:rsidRPr="00546C48">
              <w:rPr>
                <w:sz w:val="22"/>
                <w:szCs w:val="22"/>
              </w:rPr>
              <w:t>44.04%</w:t>
            </w:r>
          </w:p>
        </w:tc>
      </w:tr>
      <w:tr w:rsidR="00D36A57" w:rsidTr="00546C48" w14:paraId="4F0BC026" w14:textId="77777777">
        <w:tc>
          <w:tcPr>
            <w:tcW w:w="2547" w:type="dxa"/>
          </w:tcPr>
          <w:p w:rsidRPr="00546C48" w:rsidR="00D36A57" w:rsidP="00D36A57" w:rsidRDefault="00D36A57" w14:paraId="32396BD0" w14:textId="77777777">
            <w:pPr>
              <w:rPr>
                <w:sz w:val="22"/>
                <w:szCs w:val="22"/>
              </w:rPr>
            </w:pPr>
            <w:r w:rsidRPr="00546C48">
              <w:rPr>
                <w:sz w:val="22"/>
                <w:szCs w:val="22"/>
              </w:rPr>
              <w:t>Postgraduate School</w:t>
            </w:r>
          </w:p>
        </w:tc>
        <w:tc>
          <w:tcPr>
            <w:tcW w:w="4678" w:type="dxa"/>
          </w:tcPr>
          <w:p w:rsidRPr="00546C48" w:rsidR="00D36A57" w:rsidP="00D36A57" w:rsidRDefault="00546C48" w14:paraId="08F6D748" w14:textId="77777777">
            <w:pPr>
              <w:rPr>
                <w:sz w:val="22"/>
                <w:szCs w:val="22"/>
              </w:rPr>
            </w:pPr>
            <w:r w:rsidRPr="00546C48">
              <w:rPr>
                <w:sz w:val="22"/>
                <w:szCs w:val="22"/>
              </w:rPr>
              <w:t>PG Cert Global Health PT</w:t>
            </w:r>
          </w:p>
        </w:tc>
        <w:tc>
          <w:tcPr>
            <w:tcW w:w="1785" w:type="dxa"/>
          </w:tcPr>
          <w:p w:rsidRPr="00546C48" w:rsidR="00D36A57" w:rsidP="00D36A57" w:rsidRDefault="00546C48" w14:paraId="37B0F920" w14:textId="77777777">
            <w:pPr>
              <w:rPr>
                <w:sz w:val="22"/>
                <w:szCs w:val="22"/>
              </w:rPr>
            </w:pPr>
            <w:r w:rsidRPr="00546C48">
              <w:rPr>
                <w:sz w:val="22"/>
                <w:szCs w:val="22"/>
              </w:rPr>
              <w:t>33.33%</w:t>
            </w:r>
          </w:p>
        </w:tc>
      </w:tr>
      <w:tr w:rsidR="00D36A57" w:rsidTr="00546C48" w14:paraId="4F9EC03D" w14:textId="77777777">
        <w:tc>
          <w:tcPr>
            <w:tcW w:w="2547" w:type="dxa"/>
          </w:tcPr>
          <w:p w:rsidRPr="00546C48" w:rsidR="00D36A57" w:rsidP="00D36A57" w:rsidRDefault="00D36A57" w14:paraId="76CE527A" w14:textId="77777777">
            <w:pPr>
              <w:rPr>
                <w:sz w:val="22"/>
                <w:szCs w:val="22"/>
              </w:rPr>
            </w:pPr>
            <w:r w:rsidRPr="00546C48">
              <w:rPr>
                <w:sz w:val="22"/>
                <w:szCs w:val="22"/>
              </w:rPr>
              <w:t>Postgraduate School</w:t>
            </w:r>
          </w:p>
        </w:tc>
        <w:tc>
          <w:tcPr>
            <w:tcW w:w="4678" w:type="dxa"/>
          </w:tcPr>
          <w:p w:rsidRPr="00546C48" w:rsidR="00D36A57" w:rsidP="00D36A57" w:rsidRDefault="00546C48" w14:paraId="6CFA5B07" w14:textId="77777777">
            <w:pPr>
              <w:rPr>
                <w:sz w:val="22"/>
                <w:szCs w:val="22"/>
              </w:rPr>
            </w:pPr>
            <w:r w:rsidRPr="00546C48">
              <w:rPr>
                <w:sz w:val="22"/>
                <w:szCs w:val="22"/>
              </w:rPr>
              <w:t>MSc Genomic Medicine Full Time</w:t>
            </w:r>
          </w:p>
        </w:tc>
        <w:tc>
          <w:tcPr>
            <w:tcW w:w="1785" w:type="dxa"/>
          </w:tcPr>
          <w:p w:rsidRPr="00546C48" w:rsidR="00D36A57" w:rsidP="00D36A57" w:rsidRDefault="00546C48" w14:paraId="321746A7" w14:textId="77777777">
            <w:pPr>
              <w:rPr>
                <w:sz w:val="22"/>
                <w:szCs w:val="22"/>
              </w:rPr>
            </w:pPr>
            <w:r w:rsidRPr="00546C48">
              <w:rPr>
                <w:sz w:val="22"/>
                <w:szCs w:val="22"/>
              </w:rPr>
              <w:t>33.33%</w:t>
            </w:r>
          </w:p>
        </w:tc>
      </w:tr>
      <w:tr w:rsidR="00D36A57" w:rsidTr="00546C48" w14:paraId="65F3BC7E" w14:textId="77777777">
        <w:tc>
          <w:tcPr>
            <w:tcW w:w="2547" w:type="dxa"/>
          </w:tcPr>
          <w:p w:rsidRPr="00546C48" w:rsidR="00D36A57" w:rsidP="00D36A57" w:rsidRDefault="00D36A57" w14:paraId="2F6F90A1" w14:textId="77777777">
            <w:pPr>
              <w:rPr>
                <w:sz w:val="22"/>
                <w:szCs w:val="22"/>
              </w:rPr>
            </w:pPr>
            <w:r w:rsidRPr="00546C48">
              <w:rPr>
                <w:sz w:val="22"/>
                <w:szCs w:val="22"/>
              </w:rPr>
              <w:t>Postgraduate School</w:t>
            </w:r>
          </w:p>
        </w:tc>
        <w:tc>
          <w:tcPr>
            <w:tcW w:w="4678" w:type="dxa"/>
          </w:tcPr>
          <w:p w:rsidRPr="00546C48" w:rsidR="00D36A57" w:rsidP="00D36A57" w:rsidRDefault="00546C48" w14:paraId="003484B6" w14:textId="77777777">
            <w:pPr>
              <w:rPr>
                <w:sz w:val="22"/>
                <w:szCs w:val="22"/>
              </w:rPr>
            </w:pPr>
            <w:r w:rsidRPr="00546C48">
              <w:rPr>
                <w:sz w:val="22"/>
                <w:szCs w:val="22"/>
              </w:rPr>
              <w:t>MSc Physician Associate Studies - Full Time</w:t>
            </w:r>
          </w:p>
        </w:tc>
        <w:tc>
          <w:tcPr>
            <w:tcW w:w="1785" w:type="dxa"/>
          </w:tcPr>
          <w:p w:rsidRPr="00546C48" w:rsidR="00D36A57" w:rsidP="00D36A57" w:rsidRDefault="00546C48" w14:paraId="7F3F2364" w14:textId="77777777">
            <w:pPr>
              <w:rPr>
                <w:sz w:val="22"/>
                <w:szCs w:val="22"/>
              </w:rPr>
            </w:pPr>
            <w:r w:rsidRPr="00546C48">
              <w:rPr>
                <w:sz w:val="22"/>
                <w:szCs w:val="22"/>
              </w:rPr>
              <w:t>26.68%</w:t>
            </w:r>
          </w:p>
        </w:tc>
      </w:tr>
      <w:tr w:rsidR="00D36A57" w:rsidTr="00546C48" w14:paraId="2A691CA8" w14:textId="77777777">
        <w:tc>
          <w:tcPr>
            <w:tcW w:w="2547" w:type="dxa"/>
          </w:tcPr>
          <w:p w:rsidRPr="00546C48" w:rsidR="00D36A57" w:rsidP="00D36A57" w:rsidRDefault="00D36A57" w14:paraId="7067B396" w14:textId="77777777">
            <w:pPr>
              <w:rPr>
                <w:sz w:val="22"/>
                <w:szCs w:val="22"/>
              </w:rPr>
            </w:pPr>
            <w:r w:rsidRPr="00546C48">
              <w:rPr>
                <w:sz w:val="22"/>
                <w:szCs w:val="22"/>
              </w:rPr>
              <w:lastRenderedPageBreak/>
              <w:t>Postgraduate School</w:t>
            </w:r>
          </w:p>
        </w:tc>
        <w:tc>
          <w:tcPr>
            <w:tcW w:w="4678" w:type="dxa"/>
          </w:tcPr>
          <w:p w:rsidRPr="00546C48" w:rsidR="00D36A57" w:rsidP="00D36A57" w:rsidRDefault="00546C48" w14:paraId="0052D765" w14:textId="77777777">
            <w:pPr>
              <w:rPr>
                <w:sz w:val="22"/>
                <w:szCs w:val="22"/>
              </w:rPr>
            </w:pPr>
            <w:r w:rsidRPr="00546C48">
              <w:rPr>
                <w:sz w:val="22"/>
                <w:szCs w:val="22"/>
              </w:rPr>
              <w:t>MSc Physician Associate Studies - Part Time</w:t>
            </w:r>
          </w:p>
        </w:tc>
        <w:tc>
          <w:tcPr>
            <w:tcW w:w="1785" w:type="dxa"/>
          </w:tcPr>
          <w:p w:rsidRPr="00546C48" w:rsidR="00D36A57" w:rsidP="00D36A57" w:rsidRDefault="00546C48" w14:paraId="028A4173" w14:textId="77777777">
            <w:pPr>
              <w:rPr>
                <w:sz w:val="22"/>
                <w:szCs w:val="22"/>
              </w:rPr>
            </w:pPr>
            <w:r w:rsidRPr="00546C48">
              <w:rPr>
                <w:sz w:val="22"/>
                <w:szCs w:val="22"/>
              </w:rPr>
              <w:t>27.27%</w:t>
            </w:r>
          </w:p>
        </w:tc>
      </w:tr>
      <w:tr w:rsidR="00D36A57" w:rsidTr="00546C48" w14:paraId="760A6A77" w14:textId="77777777">
        <w:tc>
          <w:tcPr>
            <w:tcW w:w="2547" w:type="dxa"/>
          </w:tcPr>
          <w:p w:rsidRPr="00546C48" w:rsidR="00D36A57" w:rsidP="00D36A57" w:rsidRDefault="00D36A57" w14:paraId="6589E8DD" w14:textId="77777777">
            <w:pPr>
              <w:rPr>
                <w:sz w:val="22"/>
                <w:szCs w:val="22"/>
              </w:rPr>
            </w:pPr>
            <w:r w:rsidRPr="00546C48">
              <w:rPr>
                <w:sz w:val="22"/>
                <w:szCs w:val="22"/>
              </w:rPr>
              <w:t>Postgraduate School</w:t>
            </w:r>
          </w:p>
        </w:tc>
        <w:tc>
          <w:tcPr>
            <w:tcW w:w="4678" w:type="dxa"/>
          </w:tcPr>
          <w:p w:rsidRPr="00546C48" w:rsidR="00D36A57" w:rsidP="00D36A57" w:rsidRDefault="00546C48" w14:paraId="67054F88" w14:textId="77777777">
            <w:pPr>
              <w:rPr>
                <w:sz w:val="22"/>
                <w:szCs w:val="22"/>
              </w:rPr>
            </w:pPr>
            <w:r w:rsidRPr="00546C48">
              <w:rPr>
                <w:sz w:val="22"/>
                <w:szCs w:val="22"/>
              </w:rPr>
              <w:t>PG Cert Healthcare Research Skills</w:t>
            </w:r>
          </w:p>
        </w:tc>
        <w:tc>
          <w:tcPr>
            <w:tcW w:w="1785" w:type="dxa"/>
          </w:tcPr>
          <w:p w:rsidRPr="00546C48" w:rsidR="00D36A57" w:rsidP="00D36A57" w:rsidRDefault="00546C48" w14:paraId="4581840C" w14:textId="77777777">
            <w:pPr>
              <w:rPr>
                <w:sz w:val="22"/>
                <w:szCs w:val="22"/>
              </w:rPr>
            </w:pPr>
            <w:r w:rsidRPr="00546C48">
              <w:rPr>
                <w:sz w:val="22"/>
                <w:szCs w:val="22"/>
              </w:rPr>
              <w:t>22.22%</w:t>
            </w:r>
          </w:p>
        </w:tc>
      </w:tr>
      <w:tr w:rsidR="00D36A57" w:rsidTr="00546C48" w14:paraId="4E654580" w14:textId="77777777">
        <w:tc>
          <w:tcPr>
            <w:tcW w:w="2547" w:type="dxa"/>
          </w:tcPr>
          <w:p w:rsidRPr="00546C48" w:rsidR="00D36A57" w:rsidP="00D36A57" w:rsidRDefault="00D36A57" w14:paraId="0792D7C5" w14:textId="77777777">
            <w:pPr>
              <w:rPr>
                <w:sz w:val="22"/>
                <w:szCs w:val="22"/>
              </w:rPr>
            </w:pPr>
            <w:r w:rsidRPr="00546C48">
              <w:rPr>
                <w:sz w:val="22"/>
                <w:szCs w:val="22"/>
              </w:rPr>
              <w:t>Postgraduate School</w:t>
            </w:r>
          </w:p>
        </w:tc>
        <w:tc>
          <w:tcPr>
            <w:tcW w:w="4678" w:type="dxa"/>
          </w:tcPr>
          <w:p w:rsidRPr="00546C48" w:rsidR="00D36A57" w:rsidP="00D36A57" w:rsidRDefault="00546C48" w14:paraId="2B930FAB" w14:textId="77777777">
            <w:pPr>
              <w:rPr>
                <w:sz w:val="22"/>
                <w:szCs w:val="22"/>
              </w:rPr>
            </w:pPr>
            <w:r w:rsidRPr="00546C48">
              <w:rPr>
                <w:sz w:val="22"/>
                <w:szCs w:val="22"/>
              </w:rPr>
              <w:t>MPhil/PhD</w:t>
            </w:r>
          </w:p>
        </w:tc>
        <w:tc>
          <w:tcPr>
            <w:tcW w:w="1785" w:type="dxa"/>
          </w:tcPr>
          <w:p w:rsidRPr="00546C48" w:rsidR="00D36A57" w:rsidP="00D36A57" w:rsidRDefault="00546C48" w14:paraId="5C68D143" w14:textId="77777777">
            <w:pPr>
              <w:rPr>
                <w:sz w:val="22"/>
                <w:szCs w:val="22"/>
              </w:rPr>
            </w:pPr>
            <w:r w:rsidRPr="00546C48">
              <w:rPr>
                <w:sz w:val="22"/>
                <w:szCs w:val="22"/>
              </w:rPr>
              <w:t>17.39%</w:t>
            </w:r>
          </w:p>
        </w:tc>
      </w:tr>
      <w:tr w:rsidR="00D36A57" w:rsidTr="00546C48" w14:paraId="2257305F" w14:textId="77777777">
        <w:tc>
          <w:tcPr>
            <w:tcW w:w="2547" w:type="dxa"/>
          </w:tcPr>
          <w:p w:rsidRPr="00546C48" w:rsidR="00D36A57" w:rsidP="00D36A57" w:rsidRDefault="00D36A57" w14:paraId="524CF5BD" w14:textId="77777777">
            <w:pPr>
              <w:rPr>
                <w:sz w:val="22"/>
                <w:szCs w:val="22"/>
              </w:rPr>
            </w:pPr>
            <w:r w:rsidRPr="00546C48">
              <w:rPr>
                <w:sz w:val="22"/>
                <w:szCs w:val="22"/>
              </w:rPr>
              <w:t>Postgraduate School</w:t>
            </w:r>
          </w:p>
        </w:tc>
        <w:tc>
          <w:tcPr>
            <w:tcW w:w="4678" w:type="dxa"/>
          </w:tcPr>
          <w:p w:rsidRPr="00546C48" w:rsidR="00D36A57" w:rsidP="00D36A57" w:rsidRDefault="00546C48" w14:paraId="036F056F" w14:textId="77777777">
            <w:pPr>
              <w:rPr>
                <w:sz w:val="22"/>
                <w:szCs w:val="22"/>
              </w:rPr>
            </w:pPr>
            <w:r w:rsidRPr="00546C48">
              <w:rPr>
                <w:sz w:val="22"/>
                <w:szCs w:val="22"/>
              </w:rPr>
              <w:t>PG Certificate Genomic Medicine Part time</w:t>
            </w:r>
          </w:p>
        </w:tc>
        <w:tc>
          <w:tcPr>
            <w:tcW w:w="1785" w:type="dxa"/>
          </w:tcPr>
          <w:p w:rsidRPr="00546C48" w:rsidR="00D36A57" w:rsidP="00D36A57" w:rsidRDefault="00546C48" w14:paraId="3AAC2F9D" w14:textId="77777777">
            <w:pPr>
              <w:rPr>
                <w:sz w:val="22"/>
                <w:szCs w:val="22"/>
              </w:rPr>
            </w:pPr>
            <w:r w:rsidRPr="00546C48">
              <w:rPr>
                <w:sz w:val="22"/>
                <w:szCs w:val="22"/>
              </w:rPr>
              <w:t>16.67%</w:t>
            </w:r>
          </w:p>
        </w:tc>
      </w:tr>
      <w:tr w:rsidR="00D36A57" w:rsidTr="00546C48" w14:paraId="2B9D3861" w14:textId="77777777">
        <w:tc>
          <w:tcPr>
            <w:tcW w:w="2547" w:type="dxa"/>
          </w:tcPr>
          <w:p w:rsidRPr="00546C48" w:rsidR="00D36A57" w:rsidP="00D36A57" w:rsidRDefault="00D36A57" w14:paraId="3A49AB19" w14:textId="77777777">
            <w:pPr>
              <w:rPr>
                <w:sz w:val="22"/>
                <w:szCs w:val="22"/>
              </w:rPr>
            </w:pPr>
            <w:r w:rsidRPr="00546C48">
              <w:rPr>
                <w:sz w:val="22"/>
                <w:szCs w:val="22"/>
              </w:rPr>
              <w:t>Postgraduate School</w:t>
            </w:r>
          </w:p>
        </w:tc>
        <w:tc>
          <w:tcPr>
            <w:tcW w:w="4678" w:type="dxa"/>
          </w:tcPr>
          <w:p w:rsidRPr="00546C48" w:rsidR="00D36A57" w:rsidP="00D36A57" w:rsidRDefault="00546C48" w14:paraId="158F4251" w14:textId="77777777">
            <w:pPr>
              <w:rPr>
                <w:sz w:val="22"/>
                <w:szCs w:val="22"/>
              </w:rPr>
            </w:pPr>
            <w:r w:rsidRPr="00546C48">
              <w:rPr>
                <w:sz w:val="22"/>
                <w:szCs w:val="22"/>
              </w:rPr>
              <w:t>MSc Sports Cardiology Part Time</w:t>
            </w:r>
          </w:p>
        </w:tc>
        <w:tc>
          <w:tcPr>
            <w:tcW w:w="1785" w:type="dxa"/>
          </w:tcPr>
          <w:p w:rsidRPr="00546C48" w:rsidR="00D36A57" w:rsidP="00D36A57" w:rsidRDefault="00546C48" w14:paraId="40585E95" w14:textId="77777777">
            <w:pPr>
              <w:rPr>
                <w:sz w:val="22"/>
                <w:szCs w:val="22"/>
              </w:rPr>
            </w:pPr>
            <w:r w:rsidRPr="00546C48">
              <w:rPr>
                <w:sz w:val="22"/>
                <w:szCs w:val="22"/>
              </w:rPr>
              <w:t>13.33%</w:t>
            </w:r>
          </w:p>
        </w:tc>
      </w:tr>
      <w:tr w:rsidR="00D36A57" w:rsidTr="00546C48" w14:paraId="3F000CAB" w14:textId="77777777">
        <w:tc>
          <w:tcPr>
            <w:tcW w:w="2547" w:type="dxa"/>
          </w:tcPr>
          <w:p w:rsidRPr="00546C48" w:rsidR="00D36A57" w:rsidP="00D36A57" w:rsidRDefault="00D36A57" w14:paraId="7FF93147" w14:textId="77777777">
            <w:pPr>
              <w:rPr>
                <w:sz w:val="22"/>
                <w:szCs w:val="22"/>
              </w:rPr>
            </w:pPr>
            <w:r w:rsidRPr="00546C48">
              <w:rPr>
                <w:sz w:val="22"/>
                <w:szCs w:val="22"/>
              </w:rPr>
              <w:t>Postgraduate School</w:t>
            </w:r>
          </w:p>
        </w:tc>
        <w:tc>
          <w:tcPr>
            <w:tcW w:w="4678" w:type="dxa"/>
          </w:tcPr>
          <w:p w:rsidRPr="00546C48" w:rsidR="00D36A57" w:rsidP="00D36A57" w:rsidRDefault="00546C48" w14:paraId="4910CAF2" w14:textId="77777777">
            <w:pPr>
              <w:rPr>
                <w:sz w:val="22"/>
                <w:szCs w:val="22"/>
              </w:rPr>
            </w:pPr>
            <w:r w:rsidRPr="00546C48">
              <w:rPr>
                <w:sz w:val="22"/>
                <w:szCs w:val="22"/>
              </w:rPr>
              <w:t>PG Certificate in Sports Cardiology Part Time</w:t>
            </w:r>
          </w:p>
        </w:tc>
        <w:tc>
          <w:tcPr>
            <w:tcW w:w="1785" w:type="dxa"/>
          </w:tcPr>
          <w:p w:rsidRPr="00546C48" w:rsidR="00D36A57" w:rsidP="00D36A57" w:rsidRDefault="00546C48" w14:paraId="135237C8" w14:textId="77777777">
            <w:pPr>
              <w:rPr>
                <w:sz w:val="22"/>
                <w:szCs w:val="22"/>
              </w:rPr>
            </w:pPr>
            <w:r w:rsidRPr="00546C48">
              <w:rPr>
                <w:sz w:val="22"/>
                <w:szCs w:val="22"/>
              </w:rPr>
              <w:t>100%</w:t>
            </w:r>
          </w:p>
        </w:tc>
      </w:tr>
      <w:tr w:rsidR="00546C48" w:rsidTr="00546C48" w14:paraId="0FE208C6" w14:textId="77777777">
        <w:tc>
          <w:tcPr>
            <w:tcW w:w="2547" w:type="dxa"/>
          </w:tcPr>
          <w:p w:rsidRPr="00546C48" w:rsidR="00546C48" w:rsidP="00D36A57" w:rsidRDefault="00546C48" w14:paraId="549BA189" w14:textId="77777777">
            <w:pPr>
              <w:rPr>
                <w:sz w:val="22"/>
                <w:szCs w:val="22"/>
              </w:rPr>
            </w:pPr>
            <w:r w:rsidRPr="00546C48">
              <w:rPr>
                <w:sz w:val="22"/>
                <w:szCs w:val="22"/>
              </w:rPr>
              <w:t>Postgraduate School</w:t>
            </w:r>
          </w:p>
        </w:tc>
        <w:tc>
          <w:tcPr>
            <w:tcW w:w="4678" w:type="dxa"/>
          </w:tcPr>
          <w:p w:rsidRPr="00546C48" w:rsidR="00546C48" w:rsidP="00D36A57" w:rsidRDefault="00546C48" w14:paraId="0CC4BD42" w14:textId="77777777">
            <w:pPr>
              <w:rPr>
                <w:sz w:val="22"/>
                <w:szCs w:val="22"/>
              </w:rPr>
            </w:pPr>
            <w:r w:rsidRPr="00546C48">
              <w:rPr>
                <w:sz w:val="22"/>
                <w:szCs w:val="22"/>
              </w:rPr>
              <w:t>MSc Genomic Medicine Part Time</w:t>
            </w:r>
          </w:p>
        </w:tc>
        <w:tc>
          <w:tcPr>
            <w:tcW w:w="1785" w:type="dxa"/>
          </w:tcPr>
          <w:p w:rsidRPr="00546C48" w:rsidR="00546C48" w:rsidP="00D36A57" w:rsidRDefault="00546C48" w14:paraId="292DB4B9" w14:textId="77777777">
            <w:pPr>
              <w:rPr>
                <w:sz w:val="22"/>
                <w:szCs w:val="22"/>
              </w:rPr>
            </w:pPr>
            <w:r w:rsidRPr="00546C48">
              <w:rPr>
                <w:sz w:val="22"/>
                <w:szCs w:val="22"/>
              </w:rPr>
              <w:t>50%</w:t>
            </w:r>
          </w:p>
        </w:tc>
      </w:tr>
      <w:tr w:rsidR="00546C48" w:rsidTr="00546C48" w14:paraId="5B36623F" w14:textId="77777777">
        <w:tc>
          <w:tcPr>
            <w:tcW w:w="2547" w:type="dxa"/>
          </w:tcPr>
          <w:p w:rsidRPr="00546C48" w:rsidR="00546C48" w:rsidP="00D36A57" w:rsidRDefault="00546C48" w14:paraId="0A2C3DF4" w14:textId="77777777">
            <w:pPr>
              <w:rPr>
                <w:sz w:val="22"/>
                <w:szCs w:val="22"/>
              </w:rPr>
            </w:pPr>
            <w:r w:rsidRPr="00546C48">
              <w:rPr>
                <w:sz w:val="22"/>
                <w:szCs w:val="22"/>
              </w:rPr>
              <w:t>Postgraduate School</w:t>
            </w:r>
          </w:p>
        </w:tc>
        <w:tc>
          <w:tcPr>
            <w:tcW w:w="4678" w:type="dxa"/>
          </w:tcPr>
          <w:p w:rsidRPr="00546C48" w:rsidR="00546C48" w:rsidP="00D36A57" w:rsidRDefault="00546C48" w14:paraId="63E3313A" w14:textId="77777777">
            <w:pPr>
              <w:rPr>
                <w:sz w:val="22"/>
                <w:szCs w:val="22"/>
              </w:rPr>
            </w:pPr>
            <w:r w:rsidRPr="00546C48">
              <w:rPr>
                <w:sz w:val="22"/>
                <w:szCs w:val="22"/>
              </w:rPr>
              <w:t>MSc Translational Medicine</w:t>
            </w:r>
          </w:p>
        </w:tc>
        <w:tc>
          <w:tcPr>
            <w:tcW w:w="1785" w:type="dxa"/>
          </w:tcPr>
          <w:p w:rsidRPr="00546C48" w:rsidR="00546C48" w:rsidP="00D36A57" w:rsidRDefault="00546C48" w14:paraId="2C874B54" w14:textId="77777777">
            <w:pPr>
              <w:rPr>
                <w:sz w:val="22"/>
                <w:szCs w:val="22"/>
              </w:rPr>
            </w:pPr>
            <w:r w:rsidRPr="00546C48">
              <w:rPr>
                <w:sz w:val="22"/>
                <w:szCs w:val="22"/>
              </w:rPr>
              <w:t>20%</w:t>
            </w:r>
          </w:p>
        </w:tc>
      </w:tr>
      <w:tr w:rsidR="00546C48" w:rsidTr="00546C48" w14:paraId="5BFE039E" w14:textId="77777777">
        <w:tc>
          <w:tcPr>
            <w:tcW w:w="2547" w:type="dxa"/>
          </w:tcPr>
          <w:p w:rsidRPr="00546C48" w:rsidR="00546C48" w:rsidP="00D36A57" w:rsidRDefault="00546C48" w14:paraId="37C868D5" w14:textId="77777777">
            <w:pPr>
              <w:rPr>
                <w:sz w:val="22"/>
                <w:szCs w:val="22"/>
              </w:rPr>
            </w:pPr>
            <w:r w:rsidRPr="00546C48">
              <w:rPr>
                <w:sz w:val="22"/>
                <w:szCs w:val="22"/>
              </w:rPr>
              <w:t>Postgraduate School</w:t>
            </w:r>
          </w:p>
        </w:tc>
        <w:tc>
          <w:tcPr>
            <w:tcW w:w="4678" w:type="dxa"/>
          </w:tcPr>
          <w:p w:rsidRPr="00546C48" w:rsidR="00546C48" w:rsidP="00D36A57" w:rsidRDefault="00546C48" w14:paraId="620BAD70" w14:textId="77777777">
            <w:pPr>
              <w:rPr>
                <w:sz w:val="22"/>
                <w:szCs w:val="22"/>
              </w:rPr>
            </w:pPr>
            <w:r w:rsidRPr="00546C48">
              <w:rPr>
                <w:sz w:val="22"/>
                <w:szCs w:val="22"/>
              </w:rPr>
              <w:t>PG Cert Healthcare Practice - Part Time</w:t>
            </w:r>
          </w:p>
        </w:tc>
        <w:tc>
          <w:tcPr>
            <w:tcW w:w="1785" w:type="dxa"/>
          </w:tcPr>
          <w:p w:rsidRPr="00546C48" w:rsidR="00546C48" w:rsidP="00D36A57" w:rsidRDefault="00546C48" w14:paraId="434B6B21" w14:textId="77777777">
            <w:pPr>
              <w:rPr>
                <w:sz w:val="22"/>
                <w:szCs w:val="22"/>
              </w:rPr>
            </w:pPr>
            <w:r w:rsidRPr="00546C48">
              <w:rPr>
                <w:sz w:val="22"/>
                <w:szCs w:val="22"/>
              </w:rPr>
              <w:t>10%</w:t>
            </w:r>
          </w:p>
        </w:tc>
      </w:tr>
    </w:tbl>
    <w:p w:rsidR="00D36A57" w:rsidP="00A92900" w:rsidRDefault="00D36A57" w14:paraId="62EBF3C5" w14:textId="77777777">
      <w:pPr>
        <w:rPr>
          <w:b/>
        </w:rPr>
      </w:pPr>
    </w:p>
    <w:tbl>
      <w:tblPr>
        <w:tblStyle w:val="TableGrid"/>
        <w:tblW w:w="0" w:type="auto"/>
        <w:tblLook w:val="04A0" w:firstRow="1" w:lastRow="0" w:firstColumn="1" w:lastColumn="0" w:noHBand="0" w:noVBand="1"/>
      </w:tblPr>
      <w:tblGrid>
        <w:gridCol w:w="2547"/>
        <w:gridCol w:w="4678"/>
        <w:gridCol w:w="1785"/>
      </w:tblGrid>
      <w:tr w:rsidR="00546C48" w:rsidTr="00203941" w14:paraId="589245BE" w14:textId="77777777">
        <w:trPr>
          <w:trHeight w:val="171"/>
        </w:trPr>
        <w:tc>
          <w:tcPr>
            <w:tcW w:w="2547" w:type="dxa"/>
          </w:tcPr>
          <w:p w:rsidR="00546C48" w:rsidP="00546C48" w:rsidRDefault="00546C48" w14:paraId="2C5B77E0" w14:textId="77777777">
            <w:pPr>
              <w:rPr>
                <w:b/>
              </w:rPr>
            </w:pPr>
            <w:r>
              <w:rPr>
                <w:b/>
              </w:rPr>
              <w:t>Departmental Board</w:t>
            </w:r>
          </w:p>
        </w:tc>
        <w:tc>
          <w:tcPr>
            <w:tcW w:w="4678" w:type="dxa"/>
          </w:tcPr>
          <w:p w:rsidR="00546C48" w:rsidP="00546C48" w:rsidRDefault="00546C48" w14:paraId="2FD73D30" w14:textId="77777777">
            <w:pPr>
              <w:rPr>
                <w:b/>
              </w:rPr>
            </w:pPr>
            <w:r>
              <w:rPr>
                <w:b/>
              </w:rPr>
              <w:t>Course</w:t>
            </w:r>
          </w:p>
        </w:tc>
        <w:tc>
          <w:tcPr>
            <w:tcW w:w="1785" w:type="dxa"/>
          </w:tcPr>
          <w:p w:rsidR="00546C48" w:rsidP="00546C48" w:rsidRDefault="00546C48" w14:paraId="0934BF48" w14:textId="77777777">
            <w:pPr>
              <w:rPr>
                <w:b/>
              </w:rPr>
            </w:pPr>
            <w:r>
              <w:rPr>
                <w:b/>
              </w:rPr>
              <w:t xml:space="preserve">Activation rate </w:t>
            </w:r>
          </w:p>
        </w:tc>
      </w:tr>
      <w:tr w:rsidR="00546C48" w:rsidTr="00546C48" w14:paraId="4FD674CB" w14:textId="77777777">
        <w:tc>
          <w:tcPr>
            <w:tcW w:w="2547" w:type="dxa"/>
          </w:tcPr>
          <w:p w:rsidRPr="00203941" w:rsidR="00546C48" w:rsidP="00546C48" w:rsidRDefault="00546C48" w14:paraId="668BC990" w14:textId="77777777">
            <w:pPr>
              <w:rPr>
                <w:rFonts w:ascii="Calibri" w:hAnsi="Calibri" w:cs="Arial"/>
                <w:color w:val="000000"/>
                <w:sz w:val="22"/>
                <w:szCs w:val="22"/>
                <w:highlight w:val="yellow"/>
              </w:rPr>
            </w:pPr>
            <w:r w:rsidRPr="00203941">
              <w:rPr>
                <w:rFonts w:ascii="Calibri" w:hAnsi="Calibri" w:cs="Arial"/>
                <w:color w:val="000000"/>
                <w:sz w:val="22"/>
                <w:szCs w:val="22"/>
                <w:highlight w:val="yellow"/>
              </w:rPr>
              <w:t>UG Science</w:t>
            </w:r>
          </w:p>
        </w:tc>
        <w:tc>
          <w:tcPr>
            <w:tcW w:w="4678" w:type="dxa"/>
          </w:tcPr>
          <w:p w:rsidRPr="00203941" w:rsidR="00546C48" w:rsidP="00546C48" w:rsidRDefault="00546C48" w14:paraId="54967274" w14:textId="77777777">
            <w:pPr>
              <w:rPr>
                <w:rFonts w:ascii="Calibri" w:hAnsi="Calibri" w:cs="Arial"/>
                <w:color w:val="000000"/>
                <w:sz w:val="22"/>
                <w:szCs w:val="22"/>
                <w:highlight w:val="yellow"/>
              </w:rPr>
            </w:pPr>
            <w:r w:rsidRPr="00203941">
              <w:rPr>
                <w:rFonts w:ascii="Calibri" w:hAnsi="Calibri" w:cs="Arial"/>
                <w:color w:val="000000"/>
                <w:sz w:val="22"/>
                <w:szCs w:val="22"/>
                <w:highlight w:val="yellow"/>
              </w:rPr>
              <w:t>Intercalated BSc</w:t>
            </w:r>
          </w:p>
        </w:tc>
        <w:tc>
          <w:tcPr>
            <w:tcW w:w="1785" w:type="dxa"/>
          </w:tcPr>
          <w:p w:rsidRPr="00203941" w:rsidR="00546C48" w:rsidP="00546C48" w:rsidRDefault="00546C48" w14:paraId="4FEA6FAA" w14:textId="77777777">
            <w:pPr>
              <w:rPr>
                <w:highlight w:val="yellow"/>
              </w:rPr>
            </w:pPr>
            <w:r w:rsidRPr="00203941">
              <w:rPr>
                <w:highlight w:val="yellow"/>
              </w:rPr>
              <w:t>91.2%</w:t>
            </w:r>
          </w:p>
        </w:tc>
      </w:tr>
      <w:tr w:rsidR="00546C48" w:rsidTr="00546C48" w14:paraId="4C6DCE47" w14:textId="77777777">
        <w:tc>
          <w:tcPr>
            <w:tcW w:w="2547" w:type="dxa"/>
          </w:tcPr>
          <w:p w:rsidRPr="00546C48" w:rsidR="00546C48" w:rsidP="00546C48" w:rsidRDefault="00546C48" w14:paraId="52895F08" w14:textId="77777777">
            <w:pPr>
              <w:rPr>
                <w:rFonts w:ascii="Calibri" w:hAnsi="Calibri" w:cs="Arial"/>
                <w:color w:val="000000"/>
                <w:sz w:val="22"/>
                <w:szCs w:val="22"/>
              </w:rPr>
            </w:pPr>
            <w:r>
              <w:rPr>
                <w:rFonts w:ascii="Calibri" w:hAnsi="Calibri" w:cs="Arial"/>
                <w:color w:val="000000"/>
                <w:sz w:val="22"/>
                <w:szCs w:val="22"/>
              </w:rPr>
              <w:t>UG Science</w:t>
            </w:r>
          </w:p>
        </w:tc>
        <w:tc>
          <w:tcPr>
            <w:tcW w:w="4678" w:type="dxa"/>
          </w:tcPr>
          <w:p w:rsidRPr="00546C48" w:rsidR="00546C48" w:rsidP="00546C48" w:rsidRDefault="00546C48" w14:paraId="4CAFF8A2" w14:textId="77777777">
            <w:pPr>
              <w:rPr>
                <w:rFonts w:ascii="Calibri" w:hAnsi="Calibri" w:cs="Arial"/>
                <w:color w:val="000000"/>
                <w:sz w:val="22"/>
                <w:szCs w:val="22"/>
              </w:rPr>
            </w:pPr>
            <w:r>
              <w:rPr>
                <w:rFonts w:ascii="Calibri" w:hAnsi="Calibri" w:cs="Arial"/>
                <w:color w:val="000000"/>
                <w:sz w:val="22"/>
                <w:szCs w:val="22"/>
              </w:rPr>
              <w:t>MSc</w:t>
            </w:r>
            <w:bookmarkStart w:name="_GoBack" w:id="0"/>
            <w:bookmarkEnd w:id="0"/>
            <w:r>
              <w:rPr>
                <w:rFonts w:ascii="Calibri" w:hAnsi="Calibri" w:cs="Arial"/>
                <w:color w:val="000000"/>
                <w:sz w:val="22"/>
                <w:szCs w:val="22"/>
              </w:rPr>
              <w:t xml:space="preserve"> Biomedical Science</w:t>
            </w:r>
          </w:p>
        </w:tc>
        <w:tc>
          <w:tcPr>
            <w:tcW w:w="1785" w:type="dxa"/>
          </w:tcPr>
          <w:p w:rsidRPr="00C3613C" w:rsidR="00546C48" w:rsidP="00546C48" w:rsidRDefault="00546C48" w14:paraId="1AD441AD" w14:textId="77777777">
            <w:r w:rsidRPr="00C3613C">
              <w:t>76.92%</w:t>
            </w:r>
          </w:p>
        </w:tc>
      </w:tr>
      <w:tr w:rsidR="00546C48" w:rsidTr="00546C48" w14:paraId="0375C06C" w14:textId="77777777">
        <w:tc>
          <w:tcPr>
            <w:tcW w:w="2547" w:type="dxa"/>
          </w:tcPr>
          <w:p w:rsidRPr="00724312" w:rsidR="00546C48" w:rsidP="00546C48" w:rsidRDefault="00546C48" w14:paraId="414AA117" w14:textId="77777777">
            <w:pPr>
              <w:rPr>
                <w:rFonts w:ascii="Calibri" w:hAnsi="Calibri" w:cs="Arial"/>
                <w:color w:val="000000"/>
                <w:sz w:val="22"/>
                <w:szCs w:val="22"/>
                <w:highlight w:val="green"/>
              </w:rPr>
            </w:pPr>
            <w:r w:rsidRPr="00724312">
              <w:rPr>
                <w:rFonts w:ascii="Calibri" w:hAnsi="Calibri" w:cs="Arial"/>
                <w:color w:val="000000"/>
                <w:sz w:val="22"/>
                <w:szCs w:val="22"/>
                <w:highlight w:val="green"/>
              </w:rPr>
              <w:t>UG Science</w:t>
            </w:r>
          </w:p>
        </w:tc>
        <w:tc>
          <w:tcPr>
            <w:tcW w:w="4678" w:type="dxa"/>
          </w:tcPr>
          <w:p w:rsidRPr="00724312" w:rsidR="00546C48" w:rsidP="00546C48" w:rsidRDefault="00546C48" w14:paraId="5A355039" w14:textId="77777777">
            <w:pPr>
              <w:rPr>
                <w:rFonts w:ascii="Calibri" w:hAnsi="Calibri" w:cs="Arial"/>
                <w:color w:val="000000"/>
                <w:sz w:val="22"/>
                <w:szCs w:val="22"/>
                <w:highlight w:val="green"/>
              </w:rPr>
            </w:pPr>
            <w:r w:rsidRPr="00724312">
              <w:rPr>
                <w:rFonts w:ascii="Calibri" w:hAnsi="Calibri" w:cs="Arial"/>
                <w:color w:val="000000"/>
                <w:sz w:val="22"/>
                <w:szCs w:val="22"/>
                <w:highlight w:val="green"/>
              </w:rPr>
              <w:t>BSc Biomedical Science</w:t>
            </w:r>
          </w:p>
        </w:tc>
        <w:tc>
          <w:tcPr>
            <w:tcW w:w="1785" w:type="dxa"/>
          </w:tcPr>
          <w:p w:rsidRPr="00724312" w:rsidR="00546C48" w:rsidP="00546C48" w:rsidRDefault="00C3613C" w14:paraId="61BB2C5A" w14:textId="77777777">
            <w:pPr>
              <w:rPr>
                <w:highlight w:val="green"/>
              </w:rPr>
            </w:pPr>
            <w:r w:rsidRPr="00724312">
              <w:rPr>
                <w:highlight w:val="green"/>
              </w:rPr>
              <w:t>75.96%</w:t>
            </w:r>
          </w:p>
        </w:tc>
      </w:tr>
      <w:tr w:rsidR="00546C48" w:rsidTr="00546C48" w14:paraId="1B76909C" w14:textId="77777777">
        <w:tc>
          <w:tcPr>
            <w:tcW w:w="2547" w:type="dxa"/>
          </w:tcPr>
          <w:p w:rsidRPr="00724312" w:rsidR="00546C48" w:rsidP="00546C48" w:rsidRDefault="00546C48" w14:paraId="7CF609B6" w14:textId="77777777">
            <w:pPr>
              <w:rPr>
                <w:rFonts w:ascii="Calibri" w:hAnsi="Calibri" w:cs="Arial"/>
                <w:color w:val="000000"/>
                <w:sz w:val="22"/>
                <w:szCs w:val="22"/>
                <w:highlight w:val="yellow"/>
              </w:rPr>
            </w:pPr>
            <w:r w:rsidRPr="00724312">
              <w:rPr>
                <w:rFonts w:ascii="Calibri" w:hAnsi="Calibri" w:cs="Arial"/>
                <w:color w:val="000000"/>
                <w:sz w:val="22"/>
                <w:szCs w:val="22"/>
                <w:highlight w:val="yellow"/>
              </w:rPr>
              <w:t>UG Science</w:t>
            </w:r>
          </w:p>
        </w:tc>
        <w:tc>
          <w:tcPr>
            <w:tcW w:w="4678" w:type="dxa"/>
          </w:tcPr>
          <w:p w:rsidRPr="00724312" w:rsidR="00546C48" w:rsidP="00546C48" w:rsidRDefault="00546C48" w14:paraId="0AE8B298" w14:textId="77777777">
            <w:pPr>
              <w:rPr>
                <w:rFonts w:ascii="Calibri" w:hAnsi="Calibri" w:cs="Arial"/>
                <w:color w:val="000000"/>
                <w:sz w:val="22"/>
                <w:szCs w:val="22"/>
                <w:highlight w:val="yellow"/>
              </w:rPr>
            </w:pPr>
            <w:r w:rsidRPr="00724312">
              <w:rPr>
                <w:rFonts w:ascii="Calibri" w:hAnsi="Calibri" w:cs="Arial"/>
                <w:color w:val="000000"/>
                <w:sz w:val="22"/>
                <w:szCs w:val="22"/>
                <w:highlight w:val="yellow"/>
              </w:rPr>
              <w:t>BSc Healthcare Science</w:t>
            </w:r>
          </w:p>
        </w:tc>
        <w:tc>
          <w:tcPr>
            <w:tcW w:w="1785" w:type="dxa"/>
          </w:tcPr>
          <w:p w:rsidRPr="00724312" w:rsidR="00546C48" w:rsidP="00546C48" w:rsidRDefault="00C3613C" w14:paraId="5438D1FB" w14:textId="77777777">
            <w:pPr>
              <w:rPr>
                <w:highlight w:val="yellow"/>
              </w:rPr>
            </w:pPr>
            <w:r w:rsidRPr="00724312">
              <w:rPr>
                <w:highlight w:val="yellow"/>
              </w:rPr>
              <w:t>73.44%</w:t>
            </w:r>
          </w:p>
        </w:tc>
      </w:tr>
      <w:tr w:rsidR="00546C48" w:rsidTr="00546C48" w14:paraId="2FC5B466" w14:textId="77777777">
        <w:tc>
          <w:tcPr>
            <w:tcW w:w="2547" w:type="dxa"/>
          </w:tcPr>
          <w:p w:rsidRPr="00724312" w:rsidR="00546C48" w:rsidP="00546C48" w:rsidRDefault="00546C48" w14:paraId="1590F0F5" w14:textId="77777777">
            <w:pPr>
              <w:rPr>
                <w:rFonts w:ascii="Calibri" w:hAnsi="Calibri" w:cs="Arial"/>
                <w:color w:val="000000"/>
                <w:sz w:val="22"/>
                <w:szCs w:val="22"/>
                <w:highlight w:val="yellow"/>
              </w:rPr>
            </w:pPr>
            <w:r w:rsidRPr="00724312">
              <w:rPr>
                <w:rFonts w:ascii="Calibri" w:hAnsi="Calibri" w:cs="Arial"/>
                <w:color w:val="000000"/>
                <w:sz w:val="22"/>
                <w:szCs w:val="22"/>
                <w:highlight w:val="yellow"/>
              </w:rPr>
              <w:t>UG Science</w:t>
            </w:r>
          </w:p>
        </w:tc>
        <w:tc>
          <w:tcPr>
            <w:tcW w:w="4678" w:type="dxa"/>
          </w:tcPr>
          <w:p w:rsidRPr="00724312" w:rsidR="00546C48" w:rsidP="00546C48" w:rsidRDefault="00546C48" w14:paraId="73B898EB" w14:textId="77777777">
            <w:pPr>
              <w:rPr>
                <w:rFonts w:ascii="Calibri" w:hAnsi="Calibri" w:cs="Arial"/>
                <w:color w:val="000000"/>
                <w:sz w:val="22"/>
                <w:szCs w:val="22"/>
                <w:highlight w:val="yellow"/>
              </w:rPr>
            </w:pPr>
            <w:r w:rsidRPr="00724312">
              <w:rPr>
                <w:rFonts w:ascii="Calibri" w:hAnsi="Calibri" w:cs="Arial"/>
                <w:color w:val="000000"/>
                <w:sz w:val="22"/>
                <w:szCs w:val="22"/>
                <w:highlight w:val="yellow"/>
              </w:rPr>
              <w:t>BSc Clinical Pharmacology</w:t>
            </w:r>
          </w:p>
        </w:tc>
        <w:tc>
          <w:tcPr>
            <w:tcW w:w="1785" w:type="dxa"/>
          </w:tcPr>
          <w:p w:rsidRPr="00724312" w:rsidR="00546C48" w:rsidP="00546C48" w:rsidRDefault="00C3613C" w14:paraId="7314662F" w14:textId="77777777">
            <w:pPr>
              <w:rPr>
                <w:highlight w:val="yellow"/>
              </w:rPr>
            </w:pPr>
            <w:r w:rsidRPr="00724312">
              <w:rPr>
                <w:highlight w:val="yellow"/>
              </w:rPr>
              <w:t>61.25%</w:t>
            </w:r>
          </w:p>
        </w:tc>
      </w:tr>
    </w:tbl>
    <w:p w:rsidR="000F3300" w:rsidP="00A92900" w:rsidRDefault="000F3300" w14:paraId="6D98A12B" w14:textId="77777777">
      <w:pPr>
        <w:rPr>
          <w:b/>
        </w:rPr>
      </w:pPr>
    </w:p>
    <w:p w:rsidR="0075318C" w:rsidP="00A92900" w:rsidRDefault="0075318C" w14:paraId="037E35B3" w14:textId="02C5ED3B">
      <w:r>
        <w:t xml:space="preserve">Activation rates across programmes range from </w:t>
      </w:r>
      <w:r w:rsidR="005000B8">
        <w:t>7</w:t>
      </w:r>
      <w:r>
        <w:t xml:space="preserve">% to 100%. For full-time undergraduate programmes, where the overwhelming majority of engagement has occurred activation rates have ranged from 42.86% (Therapeutic Radiography) to 91.2% (Intercalated BSc). </w:t>
      </w:r>
    </w:p>
    <w:p w:rsidR="007D0482" w:rsidP="00A92900" w:rsidRDefault="007D0482" w14:paraId="197709C5" w14:textId="06BE8B75"/>
    <w:p w:rsidRPr="0075318C" w:rsidR="007D0482" w:rsidP="00A92900" w:rsidRDefault="007D0482" w14:paraId="56F8C684" w14:textId="4761E684">
      <w:proofErr w:type="spellStart"/>
      <w:r>
        <w:t>Unitu</w:t>
      </w:r>
      <w:proofErr w:type="spellEnd"/>
      <w:r>
        <w:t xml:space="preserve"> is most frequently used by MBBS4/MBBS5 and Biomedical Science students with sporadic usage across the Centre for Allied Health. It is not surprising that MBBS4 (83.83%), MBBS5 (87.22%) and Biomedical Science (75.96%) have high activation rates. </w:t>
      </w:r>
    </w:p>
    <w:p w:rsidR="007E7E88" w:rsidP="007E7E88" w:rsidRDefault="007E7E88" w14:paraId="7E63189B" w14:textId="77777777">
      <w:pPr>
        <w:pStyle w:val="Heading1"/>
      </w:pPr>
      <w:proofErr w:type="spellStart"/>
      <w:r>
        <w:t>Unitu</w:t>
      </w:r>
      <w:proofErr w:type="spellEnd"/>
      <w:r>
        <w:t xml:space="preserve"> posts increasing the visibility of student perspectives</w:t>
      </w:r>
    </w:p>
    <w:p w:rsidR="003D4708" w:rsidP="003D4708" w:rsidRDefault="003D4708" w14:paraId="07547A01" w14:textId="77777777"/>
    <w:p w:rsidR="003D4708" w:rsidP="003D4708" w:rsidRDefault="003D4708" w14:paraId="1CEEEC3F" w14:textId="77777777">
      <w:r>
        <w:t xml:space="preserve">As demonstrated by the statistical data above, </w:t>
      </w:r>
      <w:proofErr w:type="spellStart"/>
      <w:r>
        <w:t>Unitu</w:t>
      </w:r>
      <w:proofErr w:type="spellEnd"/>
      <w:r>
        <w:t xml:space="preserve"> has been widely used by St George’s over the course of the 2020-2021 academic year. Below is an overview of some of the key posts which have had a significant level of engagement or required a more detailed response from staff across the institution. </w:t>
      </w:r>
      <w:r w:rsidR="000A4A11">
        <w:t xml:space="preserve">The vast majority of the posts included are from the University Board. </w:t>
      </w:r>
    </w:p>
    <w:p w:rsidR="003D4708" w:rsidP="003D4708" w:rsidRDefault="003D4708" w14:paraId="5043CB0F" w14:textId="77777777"/>
    <w:p w:rsidR="003D4708" w:rsidP="003D4708" w:rsidRDefault="551A28AB" w14:paraId="07459315" w14:textId="3B34761C">
      <w:r w:rsidRPr="392A6AED">
        <w:rPr>
          <w:b/>
          <w:bCs/>
        </w:rPr>
        <w:t xml:space="preserve">Title: </w:t>
      </w:r>
      <w:r w:rsidR="33E456C6">
        <w:t>Library Space</w:t>
      </w:r>
    </w:p>
    <w:p w:rsidR="003D4708" w:rsidP="003D4708" w:rsidRDefault="551A28AB" w14:paraId="6537F28F" w14:textId="038F08A8">
      <w:r w:rsidRPr="392A6AED">
        <w:rPr>
          <w:b/>
          <w:bCs/>
        </w:rPr>
        <w:t xml:space="preserve">Board: </w:t>
      </w:r>
      <w:r w:rsidR="33E456C6">
        <w:t xml:space="preserve">University </w:t>
      </w:r>
    </w:p>
    <w:p w:rsidR="000A4A11" w:rsidP="003D4708" w:rsidRDefault="551A28AB" w14:paraId="6DFB9E20" w14:textId="5014AD67">
      <w:r w:rsidRPr="392A6AED">
        <w:rPr>
          <w:b/>
          <w:bCs/>
        </w:rPr>
        <w:t xml:space="preserve">Link: </w:t>
      </w:r>
      <w:hyperlink r:id="rId10">
        <w:r w:rsidRPr="392A6AED" w:rsidR="33E456C6">
          <w:rPr>
            <w:rStyle w:val="Hyperlink"/>
          </w:rPr>
          <w:t>https://sgul.unitu.co.uk/feedback/sg-23982</w:t>
        </w:r>
      </w:hyperlink>
    </w:p>
    <w:p w:rsidR="003D4708" w:rsidP="003D4708" w:rsidRDefault="33E456C6" w14:paraId="70DF9E56" w14:textId="1E6C41A5">
      <w:r w:rsidRPr="392A6AED">
        <w:rPr>
          <w:b/>
          <w:bCs/>
        </w:rPr>
        <w:t xml:space="preserve">Post created date: </w:t>
      </w:r>
      <w:r>
        <w:t>23</w:t>
      </w:r>
      <w:r w:rsidRPr="392A6AED">
        <w:rPr>
          <w:vertAlign w:val="superscript"/>
        </w:rPr>
        <w:t>rd</w:t>
      </w:r>
      <w:r>
        <w:t xml:space="preserve"> March 2021</w:t>
      </w:r>
    </w:p>
    <w:p w:rsidR="003D4708" w:rsidP="003D4708" w:rsidRDefault="003D4708" w14:paraId="5F050B06" w14:textId="77777777">
      <w:r>
        <w:rPr>
          <w:b/>
        </w:rPr>
        <w:t xml:space="preserve">Summary: </w:t>
      </w:r>
      <w:r w:rsidR="000A4A11">
        <w:t>Students commented that space was at a premium in the library, with students leaving their belongings behind in order to reserve space. The post was quickly responded to with colleagues from the library being more vigilant</w:t>
      </w:r>
      <w:r w:rsidR="005E21CB">
        <w:t xml:space="preserve"> and requiring students to pick up a ‘Study Break Pass’ should they need to leave their desk.</w:t>
      </w:r>
    </w:p>
    <w:p w:rsidR="005E21CB" w:rsidP="003D4708" w:rsidRDefault="005E21CB" w14:paraId="44E871BC" w14:textId="77777777"/>
    <w:p w:rsidRPr="000A4A11" w:rsidR="005E21CB" w:rsidP="003D4708" w:rsidRDefault="005E21CB" w14:paraId="64E51E71" w14:textId="77777777">
      <w:r>
        <w:t>The issue of study space was also raised at the Return to Site Ops Group, as it is likely that students will want to revise on-site in preparation for their end of year assessments.</w:t>
      </w:r>
    </w:p>
    <w:p w:rsidR="00D41584" w:rsidP="392A6AED" w:rsidRDefault="00D41584" w14:paraId="3B7B4B86" w14:textId="4958A81C">
      <w:pPr>
        <w:rPr>
          <w:b/>
          <w:bCs/>
        </w:rPr>
      </w:pPr>
    </w:p>
    <w:p w:rsidR="003D4708" w:rsidP="003D4708" w:rsidRDefault="551A28AB" w14:paraId="3A0FF5F2" w14:textId="31F94C13">
      <w:r w:rsidRPr="392A6AED">
        <w:rPr>
          <w:b/>
          <w:bCs/>
        </w:rPr>
        <w:t xml:space="preserve">Title: </w:t>
      </w:r>
      <w:r w:rsidR="54F09EF7">
        <w:t>Graduation</w:t>
      </w:r>
    </w:p>
    <w:p w:rsidR="003D4708" w:rsidP="003D4708" w:rsidRDefault="551A28AB" w14:paraId="5630AD66" w14:textId="39A69663">
      <w:r w:rsidRPr="392A6AED">
        <w:rPr>
          <w:b/>
          <w:bCs/>
        </w:rPr>
        <w:t xml:space="preserve">Board: </w:t>
      </w:r>
      <w:r w:rsidR="54F09EF7">
        <w:t>University</w:t>
      </w:r>
    </w:p>
    <w:p w:rsidR="005E21CB" w:rsidP="003D4708" w:rsidRDefault="551A28AB" w14:paraId="61829076" w14:textId="2BCDC974">
      <w:r w:rsidRPr="392A6AED">
        <w:rPr>
          <w:b/>
          <w:bCs/>
        </w:rPr>
        <w:lastRenderedPageBreak/>
        <w:t xml:space="preserve">Link: </w:t>
      </w:r>
      <w:hyperlink r:id="rId11">
        <w:r w:rsidRPr="392A6AED" w:rsidR="54F09EF7">
          <w:rPr>
            <w:rStyle w:val="Hyperlink"/>
          </w:rPr>
          <w:t>https://sgul.unitu.co.uk/feedback/sg-23060</w:t>
        </w:r>
      </w:hyperlink>
      <w:r w:rsidRPr="392A6AED" w:rsidR="54F09EF7">
        <w:rPr>
          <w:b/>
          <w:bCs/>
        </w:rPr>
        <w:t xml:space="preserve"> </w:t>
      </w:r>
    </w:p>
    <w:p w:rsidR="003D4708" w:rsidP="003D4708" w:rsidRDefault="54F09EF7" w14:paraId="2BA226A1" w14:textId="16ED068E">
      <w:r w:rsidRPr="392A6AED">
        <w:rPr>
          <w:b/>
          <w:bCs/>
        </w:rPr>
        <w:t xml:space="preserve">Post created date: </w:t>
      </w:r>
      <w:r>
        <w:t>24th February 2021</w:t>
      </w:r>
    </w:p>
    <w:p w:rsidR="003D4708" w:rsidP="003D4708" w:rsidRDefault="003D4708" w14:paraId="1F0F4025" w14:textId="77777777">
      <w:r>
        <w:rPr>
          <w:b/>
        </w:rPr>
        <w:t xml:space="preserve">Summary: </w:t>
      </w:r>
      <w:r w:rsidR="00FE6953">
        <w:t xml:space="preserve">Several responses were created in response to the University’s cancellation of 2021 Graduation Ceremonies. The main grievance was the way in which messages where communicated as they coincided with the optimism created by the release of the government’s roadmap. </w:t>
      </w:r>
    </w:p>
    <w:p w:rsidR="00FE6953" w:rsidP="003D4708" w:rsidRDefault="00FE6953" w14:paraId="17AD93B2" w14:textId="77777777"/>
    <w:p w:rsidRPr="00FE6953" w:rsidR="00FE6953" w:rsidP="003D4708" w:rsidRDefault="00FE6953" w14:paraId="534294D5" w14:textId="77777777">
      <w:r>
        <w:t xml:space="preserve">A survey regarding graduation was shared with students after the original communication and subsequent </w:t>
      </w:r>
      <w:proofErr w:type="spellStart"/>
      <w:r>
        <w:t>Unitu</w:t>
      </w:r>
      <w:proofErr w:type="spellEnd"/>
      <w:r>
        <w:t xml:space="preserve"> posts. </w:t>
      </w:r>
      <w:r w:rsidR="009D33E4">
        <w:t>This will provide colleagues from ERCM with a strong evidence base when making future decisions regarding graduation.</w:t>
      </w:r>
    </w:p>
    <w:p w:rsidR="003D4708" w:rsidP="392A6AED" w:rsidRDefault="003D4708" w14:paraId="66204FF1" w14:textId="48FD4338">
      <w:pPr>
        <w:rPr>
          <w:b/>
          <w:bCs/>
        </w:rPr>
      </w:pPr>
    </w:p>
    <w:p w:rsidR="003D4708" w:rsidP="003D4708" w:rsidRDefault="551A28AB" w14:paraId="2DBF0D7D" w14:textId="37E5FF7D">
      <w:r w:rsidRPr="392A6AED">
        <w:rPr>
          <w:b/>
          <w:bCs/>
        </w:rPr>
        <w:t xml:space="preserve">Title: </w:t>
      </w:r>
      <w:r w:rsidR="07B589F3">
        <w:t>No detriment policy</w:t>
      </w:r>
    </w:p>
    <w:p w:rsidR="003D4708" w:rsidP="003D4708" w:rsidRDefault="551A28AB" w14:paraId="6B62F1B3" w14:textId="06642151">
      <w:r w:rsidRPr="392A6AED">
        <w:rPr>
          <w:b/>
          <w:bCs/>
        </w:rPr>
        <w:t xml:space="preserve">Board: </w:t>
      </w:r>
      <w:r w:rsidR="07B589F3">
        <w:t xml:space="preserve">University </w:t>
      </w:r>
    </w:p>
    <w:p w:rsidR="009D33E4" w:rsidP="003D4708" w:rsidRDefault="551A28AB" w14:paraId="02F2C34E" w14:textId="5B9BDFD7">
      <w:r w:rsidRPr="392A6AED">
        <w:rPr>
          <w:b/>
          <w:bCs/>
        </w:rPr>
        <w:t xml:space="preserve">Link: </w:t>
      </w:r>
      <w:hyperlink r:id="rId12">
        <w:r w:rsidRPr="392A6AED" w:rsidR="07B589F3">
          <w:rPr>
            <w:rStyle w:val="Hyperlink"/>
          </w:rPr>
          <w:t>https://sgul.unitu.co.uk/feedback/sg-21769</w:t>
        </w:r>
      </w:hyperlink>
    </w:p>
    <w:p w:rsidR="003D4708" w:rsidP="003D4708" w:rsidRDefault="07B589F3" w14:paraId="680A4E5D" w14:textId="6AFD53C2">
      <w:r w:rsidRPr="392A6AED">
        <w:rPr>
          <w:b/>
          <w:bCs/>
        </w:rPr>
        <w:t xml:space="preserve">Post created date: </w:t>
      </w:r>
      <w:r>
        <w:t>20</w:t>
      </w:r>
      <w:r w:rsidRPr="392A6AED">
        <w:rPr>
          <w:vertAlign w:val="superscript"/>
        </w:rPr>
        <w:t>th</w:t>
      </w:r>
      <w:r>
        <w:t xml:space="preserve"> January 2021</w:t>
      </w:r>
    </w:p>
    <w:p w:rsidRPr="009D33E4" w:rsidR="003D4708" w:rsidP="003D4708" w:rsidRDefault="003D4708" w14:paraId="48175263" w14:textId="77777777">
      <w:r>
        <w:rPr>
          <w:b/>
        </w:rPr>
        <w:t xml:space="preserve">Summary: </w:t>
      </w:r>
      <w:r w:rsidR="009D33E4">
        <w:t xml:space="preserve">Students asked whether a no detriment policy would be introduced this academic year. This prompted an open forum conversation involving staff, students and the Students’ Union. There have been previous examples of when feedback or questions gathered from </w:t>
      </w:r>
      <w:proofErr w:type="spellStart"/>
      <w:r w:rsidR="009D33E4">
        <w:t>Unitu</w:t>
      </w:r>
      <w:proofErr w:type="spellEnd"/>
      <w:r w:rsidR="009D33E4">
        <w:t xml:space="preserve"> have been used to inform Q&amp;A sessions. However, this was the first time that students were formally invited to the session and it led to a better flow of conversation between students and staff.</w:t>
      </w:r>
    </w:p>
    <w:p w:rsidR="003D4708" w:rsidP="392A6AED" w:rsidRDefault="003D4708" w14:paraId="296FEF7D" w14:textId="71439C3D">
      <w:pPr>
        <w:rPr>
          <w:b/>
          <w:bCs/>
        </w:rPr>
      </w:pPr>
    </w:p>
    <w:p w:rsidR="003D4708" w:rsidP="003D4708" w:rsidRDefault="551A28AB" w14:paraId="7194DBDC" w14:textId="1312C38D">
      <w:r w:rsidRPr="392A6AED">
        <w:rPr>
          <w:b/>
          <w:bCs/>
        </w:rPr>
        <w:t xml:space="preserve">Title: </w:t>
      </w:r>
      <w:r w:rsidR="4C347B12">
        <w:t>Please open more rooms</w:t>
      </w:r>
    </w:p>
    <w:p w:rsidR="003D4708" w:rsidP="003D4708" w:rsidRDefault="551A28AB" w14:paraId="769D0D3C" w14:textId="54143F42">
      <w:r w:rsidRPr="392A6AED">
        <w:rPr>
          <w:b/>
          <w:bCs/>
        </w:rPr>
        <w:t xml:space="preserve">Board: </w:t>
      </w:r>
      <w:r w:rsidR="07B589F3">
        <w:t xml:space="preserve">University </w:t>
      </w:r>
    </w:p>
    <w:p w:rsidR="009D33E4" w:rsidP="392A6AED" w:rsidRDefault="551A28AB" w14:paraId="54CD245A" w14:textId="0E87370E">
      <w:pPr>
        <w:rPr>
          <w:b/>
          <w:bCs/>
        </w:rPr>
      </w:pPr>
      <w:r w:rsidRPr="392A6AED">
        <w:rPr>
          <w:b/>
          <w:bCs/>
        </w:rPr>
        <w:t xml:space="preserve">Link: </w:t>
      </w:r>
      <w:r w:rsidRPr="392A6AED" w:rsidR="52BF0907">
        <w:rPr>
          <w:color w:val="0563C1"/>
          <w:u w:val="single"/>
        </w:rPr>
        <w:t>https://sgul.unitu.co.uk/feedback/sg-24502</w:t>
      </w:r>
    </w:p>
    <w:p w:rsidR="003D4708" w:rsidP="392A6AED" w:rsidRDefault="07B589F3" w14:paraId="1231BE67" w14:textId="5EC86470">
      <w:r w:rsidRPr="392A6AED">
        <w:rPr>
          <w:b/>
          <w:bCs/>
        </w:rPr>
        <w:t xml:space="preserve">Post created date: </w:t>
      </w:r>
      <w:r w:rsidR="7E6404E6">
        <w:t>21</w:t>
      </w:r>
      <w:r w:rsidRPr="392A6AED" w:rsidR="7E6404E6">
        <w:rPr>
          <w:vertAlign w:val="superscript"/>
        </w:rPr>
        <w:t>st</w:t>
      </w:r>
      <w:r w:rsidR="7E6404E6">
        <w:t xml:space="preserve"> April 2021</w:t>
      </w:r>
    </w:p>
    <w:p w:rsidR="551A28AB" w:rsidP="392A6AED" w:rsidRDefault="551A28AB" w14:paraId="39509F71" w14:textId="52BEA1E5">
      <w:pPr>
        <w:spacing w:line="259" w:lineRule="auto"/>
      </w:pPr>
      <w:r w:rsidRPr="392A6AED">
        <w:rPr>
          <w:b/>
          <w:bCs/>
        </w:rPr>
        <w:t xml:space="preserve">Summary: </w:t>
      </w:r>
      <w:r w:rsidR="42EEC9C3">
        <w:t>Students have requested for additional space to be made available for revision sessions in preparation for spring exams. Colleagues were first alerted to this post at BCP Educa</w:t>
      </w:r>
      <w:r w:rsidR="30C36ADB">
        <w:t>tion on Thursday 22</w:t>
      </w:r>
      <w:r w:rsidRPr="392A6AED" w:rsidR="30C36ADB">
        <w:rPr>
          <w:vertAlign w:val="superscript"/>
        </w:rPr>
        <w:t>nd</w:t>
      </w:r>
      <w:r w:rsidR="30C36ADB">
        <w:t xml:space="preserve"> April and a core group made of staff from BCP Education and RTS Ops Group have been tasked with formulating a response.</w:t>
      </w:r>
    </w:p>
    <w:p w:rsidR="003D4708" w:rsidP="392A6AED" w:rsidRDefault="003D4708" w14:paraId="30D7AA69" w14:textId="4F8A5552">
      <w:pPr>
        <w:rPr>
          <w:b/>
          <w:bCs/>
        </w:rPr>
      </w:pPr>
    </w:p>
    <w:p w:rsidR="009D33E4" w:rsidP="009D33E4" w:rsidRDefault="07B589F3" w14:paraId="7196D064" w14:textId="3F173BC5">
      <w:r w:rsidRPr="392A6AED">
        <w:rPr>
          <w:b/>
          <w:bCs/>
        </w:rPr>
        <w:t xml:space="preserve">Title: </w:t>
      </w:r>
      <w:proofErr w:type="spellStart"/>
      <w:r>
        <w:t>No where</w:t>
      </w:r>
      <w:proofErr w:type="spellEnd"/>
      <w:r>
        <w:t xml:space="preserve"> to eat</w:t>
      </w:r>
    </w:p>
    <w:p w:rsidR="009D33E4" w:rsidP="009D33E4" w:rsidRDefault="07B589F3" w14:paraId="34FF1C98" w14:textId="75EA60AC">
      <w:r w:rsidRPr="392A6AED">
        <w:rPr>
          <w:b/>
          <w:bCs/>
        </w:rPr>
        <w:t xml:space="preserve">Board: </w:t>
      </w:r>
      <w:r>
        <w:t xml:space="preserve">University </w:t>
      </w:r>
    </w:p>
    <w:p w:rsidR="009D33E4" w:rsidP="009D33E4" w:rsidRDefault="07B589F3" w14:paraId="6D072C0D" w14:textId="02AED03D">
      <w:r w:rsidRPr="392A6AED">
        <w:rPr>
          <w:b/>
          <w:bCs/>
        </w:rPr>
        <w:t xml:space="preserve">Link: </w:t>
      </w:r>
      <w:hyperlink r:id="rId13">
        <w:r w:rsidRPr="392A6AED">
          <w:rPr>
            <w:rStyle w:val="Hyperlink"/>
          </w:rPr>
          <w:t>https://sgul.unitu.co.uk/feedback/sg-21106</w:t>
        </w:r>
      </w:hyperlink>
    </w:p>
    <w:p w:rsidR="009D33E4" w:rsidP="009D33E4" w:rsidRDefault="07B589F3" w14:paraId="48A21919" w14:textId="2C57331D">
      <w:r w:rsidRPr="392A6AED">
        <w:rPr>
          <w:b/>
          <w:bCs/>
        </w:rPr>
        <w:t xml:space="preserve">Post created date: </w:t>
      </w:r>
      <w:r>
        <w:t>4</w:t>
      </w:r>
      <w:r w:rsidRPr="392A6AED">
        <w:rPr>
          <w:vertAlign w:val="superscript"/>
        </w:rPr>
        <w:t>th</w:t>
      </w:r>
      <w:r>
        <w:t xml:space="preserve"> January 2021</w:t>
      </w:r>
    </w:p>
    <w:p w:rsidRPr="009D33E4" w:rsidR="009D33E4" w:rsidP="009D33E4" w:rsidRDefault="009D33E4" w14:paraId="2C65DA93" w14:textId="77777777">
      <w:r>
        <w:rPr>
          <w:b/>
        </w:rPr>
        <w:t xml:space="preserve">Summary: </w:t>
      </w:r>
      <w:r>
        <w:t xml:space="preserve">In response to student feedback, the SU bar was opened so that students were able to have their lunch. </w:t>
      </w:r>
    </w:p>
    <w:p w:rsidR="009D33E4" w:rsidP="392A6AED" w:rsidRDefault="009D33E4" w14:paraId="238601FE" w14:textId="2B552CD3">
      <w:pPr>
        <w:rPr>
          <w:b/>
          <w:bCs/>
        </w:rPr>
      </w:pPr>
    </w:p>
    <w:p w:rsidR="009D33E4" w:rsidP="009D33E4" w:rsidRDefault="07B589F3" w14:paraId="0F3CABC7" w14:textId="17E43600">
      <w:r w:rsidRPr="392A6AED">
        <w:rPr>
          <w:b/>
          <w:bCs/>
        </w:rPr>
        <w:t xml:space="preserve">Title: </w:t>
      </w:r>
      <w:r>
        <w:t>Refunding accommodation</w:t>
      </w:r>
    </w:p>
    <w:p w:rsidR="009D33E4" w:rsidP="009D33E4" w:rsidRDefault="07B589F3" w14:paraId="5B08B5D1" w14:textId="0655D7B1">
      <w:r w:rsidRPr="392A6AED">
        <w:rPr>
          <w:b/>
          <w:bCs/>
        </w:rPr>
        <w:t xml:space="preserve">Board: </w:t>
      </w:r>
      <w:r>
        <w:t xml:space="preserve">University </w:t>
      </w:r>
    </w:p>
    <w:p w:rsidR="009D33E4" w:rsidP="009D33E4" w:rsidRDefault="07B589F3" w14:paraId="16DEB4AB" w14:textId="1A7109B8">
      <w:r w:rsidRPr="392A6AED">
        <w:rPr>
          <w:b/>
          <w:bCs/>
        </w:rPr>
        <w:t xml:space="preserve">Link: </w:t>
      </w:r>
      <w:hyperlink r:id="rId14">
        <w:r w:rsidRPr="392A6AED">
          <w:rPr>
            <w:rStyle w:val="Hyperlink"/>
          </w:rPr>
          <w:t>https://sgul.unitu.co.uk/feedback/sg-19120</w:t>
        </w:r>
      </w:hyperlink>
    </w:p>
    <w:p w:rsidR="009D33E4" w:rsidP="009D33E4" w:rsidRDefault="07B589F3" w14:paraId="0AD9C6F4" w14:textId="3BE40F40">
      <w:r w:rsidRPr="392A6AED">
        <w:rPr>
          <w:b/>
          <w:bCs/>
        </w:rPr>
        <w:t xml:space="preserve">Post created date: </w:t>
      </w:r>
      <w:r w:rsidR="34D3FE48">
        <w:t>6</w:t>
      </w:r>
      <w:r w:rsidRPr="392A6AED" w:rsidR="34D3FE48">
        <w:rPr>
          <w:vertAlign w:val="superscript"/>
        </w:rPr>
        <w:t>th</w:t>
      </w:r>
      <w:r w:rsidR="34D3FE48">
        <w:t xml:space="preserve"> November 2020</w:t>
      </w:r>
    </w:p>
    <w:p w:rsidRPr="006739CA" w:rsidR="009D33E4" w:rsidP="009D33E4" w:rsidRDefault="009D33E4" w14:paraId="7BD5AEBC" w14:textId="77777777">
      <w:r>
        <w:rPr>
          <w:b/>
        </w:rPr>
        <w:t xml:space="preserve">Summary: </w:t>
      </w:r>
      <w:r w:rsidR="006739CA">
        <w:t>Students were advocating for a partial refund on accommodation due to a lack of onsite teaching and in response to rent strikes across the UK. This allowed colleagues from Registry and Student Services to understand the depth of student feeling regarding this issue.</w:t>
      </w:r>
    </w:p>
    <w:p w:rsidR="009D33E4" w:rsidP="392A6AED" w:rsidRDefault="009D33E4" w14:paraId="65F9C3DC" w14:textId="4D4C9523">
      <w:pPr>
        <w:rPr>
          <w:b/>
          <w:bCs/>
        </w:rPr>
      </w:pPr>
    </w:p>
    <w:p w:rsidR="009D33E4" w:rsidP="009D33E4" w:rsidRDefault="07B589F3" w14:paraId="5023141B" w14:textId="1B07DD36">
      <w:r w:rsidRPr="392A6AED">
        <w:rPr>
          <w:b/>
          <w:bCs/>
        </w:rPr>
        <w:lastRenderedPageBreak/>
        <w:t xml:space="preserve">Title: </w:t>
      </w:r>
      <w:r w:rsidR="34D3FE48">
        <w:t>Anyone else struggling to work?</w:t>
      </w:r>
    </w:p>
    <w:p w:rsidR="009D33E4" w:rsidP="009D33E4" w:rsidRDefault="07B589F3" w14:paraId="1F3B1409" w14:textId="469ECE00">
      <w:r w:rsidRPr="392A6AED">
        <w:rPr>
          <w:b/>
          <w:bCs/>
        </w:rPr>
        <w:t xml:space="preserve">Board: </w:t>
      </w:r>
      <w:r w:rsidR="34D3FE48">
        <w:t>Medicine</w:t>
      </w:r>
    </w:p>
    <w:p w:rsidR="009D33E4" w:rsidP="009D33E4" w:rsidRDefault="07B589F3" w14:paraId="562C75D1" w14:textId="70007606">
      <w:r w:rsidRPr="392A6AED">
        <w:rPr>
          <w:b/>
          <w:bCs/>
        </w:rPr>
        <w:t xml:space="preserve">Link: </w:t>
      </w:r>
      <w:hyperlink r:id="rId15">
        <w:r w:rsidRPr="392A6AED" w:rsidR="34D3FE48">
          <w:rPr>
            <w:rStyle w:val="Hyperlink"/>
          </w:rPr>
          <w:t>https://sgul.unitu.co.uk/feedback/sg-21235</w:t>
        </w:r>
      </w:hyperlink>
    </w:p>
    <w:p w:rsidR="009D33E4" w:rsidP="009D33E4" w:rsidRDefault="07B589F3" w14:paraId="664355AD" w14:textId="49D51017">
      <w:r w:rsidRPr="392A6AED">
        <w:rPr>
          <w:b/>
          <w:bCs/>
        </w:rPr>
        <w:t>Post created date:</w:t>
      </w:r>
      <w:r w:rsidRPr="392A6AED" w:rsidR="34D3FE48">
        <w:rPr>
          <w:b/>
          <w:bCs/>
        </w:rPr>
        <w:t xml:space="preserve"> </w:t>
      </w:r>
      <w:r w:rsidR="34D3FE48">
        <w:t>6</w:t>
      </w:r>
      <w:r w:rsidRPr="392A6AED" w:rsidR="34D3FE48">
        <w:rPr>
          <w:vertAlign w:val="superscript"/>
        </w:rPr>
        <w:t>th</w:t>
      </w:r>
      <w:r w:rsidR="34D3FE48">
        <w:t xml:space="preserve"> January 2021</w:t>
      </w:r>
    </w:p>
    <w:p w:rsidRPr="006739CA" w:rsidR="009D33E4" w:rsidP="009D33E4" w:rsidRDefault="009D33E4" w14:paraId="6A8558B1" w14:textId="77777777">
      <w:r>
        <w:rPr>
          <w:b/>
        </w:rPr>
        <w:t xml:space="preserve">Summary: </w:t>
      </w:r>
      <w:r w:rsidR="006739CA">
        <w:t xml:space="preserve">In this post, a student explained that they were struggling to study online, other students were also having a similar experience. In response, the MBBS Student Support Manager was able to provide links to academic support. This prompted further conversations about how CIDE could use </w:t>
      </w:r>
      <w:proofErr w:type="spellStart"/>
      <w:r w:rsidR="006739CA">
        <w:t>Unitu</w:t>
      </w:r>
      <w:proofErr w:type="spellEnd"/>
      <w:r w:rsidR="006739CA">
        <w:t xml:space="preserve"> to view student feedback and tailor academic support to student needs. </w:t>
      </w:r>
    </w:p>
    <w:p w:rsidR="009D33E4" w:rsidP="392A6AED" w:rsidRDefault="009D33E4" w14:paraId="7DF4E37C" w14:textId="5C445836">
      <w:pPr>
        <w:rPr>
          <w:b/>
          <w:bCs/>
        </w:rPr>
      </w:pPr>
    </w:p>
    <w:p w:rsidR="009D33E4" w:rsidP="009D33E4" w:rsidRDefault="07B589F3" w14:paraId="44FB30F8" w14:textId="281B6F4C">
      <w:r w:rsidRPr="392A6AED">
        <w:rPr>
          <w:b/>
          <w:bCs/>
        </w:rPr>
        <w:t xml:space="preserve">Title: </w:t>
      </w:r>
      <w:proofErr w:type="gramStart"/>
      <w:r w:rsidR="34D3FE48">
        <w:t>24 hour</w:t>
      </w:r>
      <w:proofErr w:type="gramEnd"/>
      <w:r w:rsidR="34D3FE48">
        <w:t xml:space="preserve"> exams for third year biomed exams</w:t>
      </w:r>
    </w:p>
    <w:p w:rsidR="009D33E4" w:rsidP="009D33E4" w:rsidRDefault="07B589F3" w14:paraId="1DA6542E" w14:textId="3879EB27">
      <w:r w:rsidRPr="392A6AED">
        <w:rPr>
          <w:b/>
          <w:bCs/>
        </w:rPr>
        <w:t xml:space="preserve">Board: </w:t>
      </w:r>
      <w:r w:rsidR="34D3FE48">
        <w:t>UG Science</w:t>
      </w:r>
    </w:p>
    <w:p w:rsidR="009D33E4" w:rsidP="392A6AED" w:rsidRDefault="07B589F3" w14:paraId="3041E394" w14:textId="30AFFAF0">
      <w:pPr>
        <w:rPr>
          <w:b/>
          <w:bCs/>
        </w:rPr>
      </w:pPr>
      <w:r w:rsidRPr="392A6AED">
        <w:rPr>
          <w:b/>
          <w:bCs/>
        </w:rPr>
        <w:t xml:space="preserve">Link: </w:t>
      </w:r>
      <w:hyperlink r:id="rId16">
        <w:r w:rsidRPr="392A6AED" w:rsidR="34D3FE48">
          <w:rPr>
            <w:rStyle w:val="Hyperlink"/>
          </w:rPr>
          <w:t>https://sgul.unitu.co.uk/feedback/sg-23479</w:t>
        </w:r>
      </w:hyperlink>
    </w:p>
    <w:p w:rsidR="009D33E4" w:rsidP="009D33E4" w:rsidRDefault="07B589F3" w14:paraId="722B00AE" w14:textId="4F753BD8">
      <w:r w:rsidRPr="392A6AED">
        <w:rPr>
          <w:b/>
          <w:bCs/>
        </w:rPr>
        <w:t>Post created date:</w:t>
      </w:r>
      <w:r w:rsidRPr="392A6AED" w:rsidR="34D3FE48">
        <w:rPr>
          <w:b/>
          <w:bCs/>
        </w:rPr>
        <w:t xml:space="preserve"> </w:t>
      </w:r>
      <w:r w:rsidR="34D3FE48">
        <w:t>6</w:t>
      </w:r>
      <w:r w:rsidRPr="392A6AED" w:rsidR="34D3FE48">
        <w:rPr>
          <w:vertAlign w:val="superscript"/>
        </w:rPr>
        <w:t>th</w:t>
      </w:r>
      <w:r w:rsidR="34D3FE48">
        <w:t xml:space="preserve"> March 2021</w:t>
      </w:r>
    </w:p>
    <w:p w:rsidR="009D33E4" w:rsidP="009D33E4" w:rsidRDefault="009D33E4" w14:paraId="660C4138" w14:textId="168C5BE8">
      <w:r>
        <w:rPr>
          <w:b/>
        </w:rPr>
        <w:t xml:space="preserve">Summary: </w:t>
      </w:r>
      <w:r w:rsidR="00CA23B7">
        <w:t xml:space="preserve">This post coincided with additional feedback from Third Year Biomedical Science students regarding their exams. A wider discussion was held between University Senior Leadership, Students’ Union, the Course Team and Year Reps. This allowed Year Reps to have a better understanding of institutional decision-making and prompted the University to think about additional time given to LAQ exams. </w:t>
      </w:r>
    </w:p>
    <w:p w:rsidR="007D0482" w:rsidP="009D33E4" w:rsidRDefault="007D0482" w14:paraId="21AEA34F" w14:textId="43BBC0E0"/>
    <w:p w:rsidR="007D0482" w:rsidP="007D0482" w:rsidRDefault="007D0482" w14:paraId="36B3A171" w14:textId="4727E80E">
      <w:r w:rsidRPr="392A6AED">
        <w:rPr>
          <w:b/>
          <w:bCs/>
        </w:rPr>
        <w:t xml:space="preserve">Title: </w:t>
      </w:r>
      <w:r>
        <w:t>2021/22</w:t>
      </w:r>
    </w:p>
    <w:p w:rsidR="007D0482" w:rsidP="007D0482" w:rsidRDefault="007D0482" w14:paraId="24455028" w14:textId="174619E4">
      <w:r w:rsidRPr="392A6AED">
        <w:rPr>
          <w:b/>
          <w:bCs/>
        </w:rPr>
        <w:t xml:space="preserve">Board: </w:t>
      </w:r>
      <w:r>
        <w:t xml:space="preserve">University </w:t>
      </w:r>
    </w:p>
    <w:p w:rsidR="007D0482" w:rsidP="007D0482" w:rsidRDefault="007D0482" w14:paraId="1220DBC9" w14:textId="3A108F49">
      <w:pPr>
        <w:rPr>
          <w:b/>
          <w:bCs/>
        </w:rPr>
      </w:pPr>
      <w:r w:rsidRPr="392A6AED">
        <w:rPr>
          <w:b/>
          <w:bCs/>
        </w:rPr>
        <w:t xml:space="preserve">Link: </w:t>
      </w:r>
      <w:hyperlink w:history="1" r:id="rId17">
        <w:r w:rsidRPr="00D249CD">
          <w:rPr>
            <w:rStyle w:val="Hyperlink"/>
          </w:rPr>
          <w:t>https://sgul.unitu.co.uk/feedback/sg-25561</w:t>
        </w:r>
      </w:hyperlink>
      <w:r>
        <w:t xml:space="preserve"> and </w:t>
      </w:r>
      <w:hyperlink w:history="1" r:id="rId18">
        <w:r w:rsidRPr="00D249CD">
          <w:rPr>
            <w:rStyle w:val="Hyperlink"/>
          </w:rPr>
          <w:t>https://sgul.unitu.co.uk/feedback/sg-25656</w:t>
        </w:r>
      </w:hyperlink>
      <w:r>
        <w:t xml:space="preserve"> </w:t>
      </w:r>
    </w:p>
    <w:p w:rsidR="007D0482" w:rsidP="007D0482" w:rsidRDefault="007D0482" w14:paraId="119C6BEA" w14:textId="6451DBAB">
      <w:r w:rsidRPr="392A6AED">
        <w:rPr>
          <w:b/>
          <w:bCs/>
        </w:rPr>
        <w:t xml:space="preserve">Post created date: </w:t>
      </w:r>
      <w:r>
        <w:t>27</w:t>
      </w:r>
      <w:r w:rsidRPr="007D0482">
        <w:rPr>
          <w:vertAlign w:val="superscript"/>
        </w:rPr>
        <w:t>th</w:t>
      </w:r>
      <w:r>
        <w:t xml:space="preserve"> June and 5</w:t>
      </w:r>
      <w:r w:rsidRPr="007D0482">
        <w:rPr>
          <w:vertAlign w:val="superscript"/>
        </w:rPr>
        <w:t>th</w:t>
      </w:r>
      <w:r>
        <w:t xml:space="preserve"> July 2021</w:t>
      </w:r>
    </w:p>
    <w:p w:rsidR="007D0482" w:rsidP="007D0482" w:rsidRDefault="007D0482" w14:paraId="38E4A4D5" w14:textId="19688F29">
      <w:r>
        <w:rPr>
          <w:b/>
        </w:rPr>
        <w:t xml:space="preserve">Summary: </w:t>
      </w:r>
      <w:r w:rsidR="00031176">
        <w:t xml:space="preserve">Students were asking about the University’s return to site plans following government relaxation over the summer. A response was crafted by colleagues from the Communications and Senior Management Team, which has been shared on the University website. </w:t>
      </w:r>
    </w:p>
    <w:p w:rsidR="007E7E88" w:rsidP="007E7E88" w:rsidRDefault="007E7E88" w14:paraId="71FB6FC2" w14:textId="28B28FE4">
      <w:pPr>
        <w:pStyle w:val="Heading1"/>
      </w:pPr>
      <w:r>
        <w:t xml:space="preserve">Student-Staff Partnership </w:t>
      </w:r>
      <w:r w:rsidR="00031176">
        <w:t>Grant</w:t>
      </w:r>
      <w:r w:rsidR="008C7B31">
        <w:t xml:space="preserve"> (SSP</w:t>
      </w:r>
      <w:r w:rsidR="00031176">
        <w:t>G</w:t>
      </w:r>
      <w:r w:rsidR="008C7B31">
        <w:t xml:space="preserve">) </w:t>
      </w:r>
      <w:r>
        <w:t>update</w:t>
      </w:r>
      <w:r w:rsidR="007D0482">
        <w:t xml:space="preserve"> </w:t>
      </w:r>
    </w:p>
    <w:p w:rsidR="001D20B3" w:rsidP="001D20B3" w:rsidRDefault="001D20B3" w14:paraId="42C6D796" w14:textId="77777777"/>
    <w:p w:rsidR="00A33ADA" w:rsidP="00031176" w:rsidRDefault="008C7B31" w14:paraId="37CCFBAA" w14:textId="0B3DE683">
      <w:r>
        <w:t xml:space="preserve">Colleagues from the Student Experience Team, Students’ Union and Year Reps </w:t>
      </w:r>
      <w:r w:rsidR="00031176">
        <w:t xml:space="preserve">undertook a SSPG over the course of the 2020-2021 academic year to better understand student perceptions of </w:t>
      </w:r>
      <w:proofErr w:type="spellStart"/>
      <w:r w:rsidR="00031176">
        <w:t>Unitu</w:t>
      </w:r>
      <w:proofErr w:type="spellEnd"/>
      <w:r w:rsidR="00031176">
        <w:t xml:space="preserve">. The full report can be seen </w:t>
      </w:r>
      <w:hyperlink w:history="1" r:id="rId19">
        <w:r w:rsidRPr="00031176" w:rsidR="00031176">
          <w:rPr>
            <w:rStyle w:val="Hyperlink"/>
          </w:rPr>
          <w:t>here</w:t>
        </w:r>
      </w:hyperlink>
      <w:r w:rsidR="00031176">
        <w:t>.</w:t>
      </w:r>
    </w:p>
    <w:p w:rsidR="00031176" w:rsidP="00031176" w:rsidRDefault="00031176" w14:paraId="60C0E623" w14:textId="6349AF8B"/>
    <w:p w:rsidR="00031176" w:rsidP="00031176" w:rsidRDefault="00031176" w14:paraId="03ADEC69" w14:textId="79791908">
      <w:r>
        <w:t>249 students participated in a survey and 22 students attended focus groups</w:t>
      </w:r>
      <w:r w:rsidR="006674E2">
        <w:t xml:space="preserve"> to unpick some of the initial findings of the survey</w:t>
      </w:r>
      <w:r>
        <w:t xml:space="preserve">. The vast majority of participants studied Medicine or Biomedical Science. </w:t>
      </w:r>
      <w:r w:rsidR="00DB4F3C">
        <w:t xml:space="preserve">Most respondents </w:t>
      </w:r>
      <w:r>
        <w:t xml:space="preserve">used </w:t>
      </w:r>
      <w:proofErr w:type="spellStart"/>
      <w:r>
        <w:t>Unitu</w:t>
      </w:r>
      <w:proofErr w:type="spellEnd"/>
      <w:r>
        <w:t xml:space="preserve"> on a weekly basis or when </w:t>
      </w:r>
      <w:proofErr w:type="spellStart"/>
      <w:proofErr w:type="gramStart"/>
      <w:r>
        <w:t>their</w:t>
      </w:r>
      <w:proofErr w:type="spellEnd"/>
      <w:proofErr w:type="gramEnd"/>
      <w:r>
        <w:t xml:space="preserve"> was a post they wanted to interact with.</w:t>
      </w:r>
    </w:p>
    <w:p w:rsidR="00031176" w:rsidP="00031176" w:rsidRDefault="00031176" w14:paraId="4AA4296F" w14:textId="16D66A4F"/>
    <w:p w:rsidR="00572676" w:rsidP="00031176" w:rsidRDefault="00572676" w14:paraId="14324BF2" w14:textId="35BBE6BC">
      <w:r>
        <w:t xml:space="preserve">73% of respondents felt that </w:t>
      </w:r>
      <w:proofErr w:type="spellStart"/>
      <w:r>
        <w:t>Unitu</w:t>
      </w:r>
      <w:proofErr w:type="spellEnd"/>
      <w:r>
        <w:t xml:space="preserve"> is a good thing for St George’s and 65% of students believed that </w:t>
      </w:r>
      <w:proofErr w:type="spellStart"/>
      <w:r>
        <w:t>Unitu</w:t>
      </w:r>
      <w:proofErr w:type="spellEnd"/>
      <w:r>
        <w:t xml:space="preserve"> has allowed them to have their voices heard. This reflects a positive overall perception of the platform. However, its usefulness can be questioned as only 41% of respondents agreed that posts on </w:t>
      </w:r>
      <w:proofErr w:type="spellStart"/>
      <w:r>
        <w:t>Unitu</w:t>
      </w:r>
      <w:proofErr w:type="spellEnd"/>
      <w:r>
        <w:t xml:space="preserve"> had led to positive change and 36% of respondents believed that feedback on </w:t>
      </w:r>
      <w:proofErr w:type="spellStart"/>
      <w:r>
        <w:t>Unitu</w:t>
      </w:r>
      <w:proofErr w:type="spellEnd"/>
      <w:r>
        <w:t xml:space="preserve"> was acted upon. Respondents also felt that Year Reps and staff could play a more proactive role in promoting the platform.</w:t>
      </w:r>
    </w:p>
    <w:p w:rsidR="00572676" w:rsidP="00031176" w:rsidRDefault="00572676" w14:paraId="5C2BBB1B" w14:textId="14B5F1DF"/>
    <w:p w:rsidR="00572676" w:rsidP="00031176" w:rsidRDefault="00572676" w14:paraId="230CC38B" w14:textId="19BB1DB3">
      <w:r>
        <w:t xml:space="preserve">Students were positive about </w:t>
      </w:r>
      <w:proofErr w:type="spellStart"/>
      <w:r>
        <w:t>Unitu</w:t>
      </w:r>
      <w:proofErr w:type="spellEnd"/>
      <w:r>
        <w:t xml:space="preserve"> because it gave them a voice, direct contact with staff, helped them to feel part of a community and there were also positive comments regarding anonymity. Students were also negative about anonymity, unprofessional usage of the platform by their peers, feedback not being acted upon and the app not being user friendly. In order to improve </w:t>
      </w:r>
      <w:proofErr w:type="spellStart"/>
      <w:r>
        <w:t>Unitu</w:t>
      </w:r>
      <w:proofErr w:type="spellEnd"/>
      <w:r>
        <w:t xml:space="preserve">, students asked for improved staff responses, the removal of anonymity, improved student resources and wider usage and an improved user interface. The contradictions between positives, negatives and improvements is not surprising as there is not one sole student voice, there is a multiplicity of student voices with differing expectations, demands and experiences. </w:t>
      </w:r>
    </w:p>
    <w:p w:rsidR="00572676" w:rsidP="00031176" w:rsidRDefault="00572676" w14:paraId="43AD144D" w14:textId="61F09BF9"/>
    <w:p w:rsidR="00572676" w:rsidP="00031176" w:rsidRDefault="00572676" w14:paraId="506FFC9A" w14:textId="0A691B14">
      <w:r>
        <w:t>There was no clear consensus regarding student’s perception of anonymity. For example, 7</w:t>
      </w:r>
      <w:r w:rsidR="00721DC6">
        <w:t>2</w:t>
      </w:r>
      <w:r>
        <w:t xml:space="preserve">% of respondents felt that anonymity led to rude comments, 22% of respondents suggested that rude comments discouraged them from using the platform, however,83% of students felt that posting on </w:t>
      </w:r>
      <w:proofErr w:type="spellStart"/>
      <w:r>
        <w:t>Unitu</w:t>
      </w:r>
      <w:proofErr w:type="spellEnd"/>
      <w:r>
        <w:t xml:space="preserve"> was a good thing. One of the key recommendations from the SSPG was for the University Board to be de-anonymised. We would be the first </w:t>
      </w:r>
      <w:proofErr w:type="spellStart"/>
      <w:r>
        <w:t>Unitu</w:t>
      </w:r>
      <w:proofErr w:type="spellEnd"/>
      <w:r>
        <w:t xml:space="preserve"> partner</w:t>
      </w:r>
      <w:r w:rsidR="004C6389">
        <w:t xml:space="preserve"> institution</w:t>
      </w:r>
      <w:r>
        <w:t xml:space="preserve"> to do this, but it could be a useful way to ensure that a positive, professional and constructive culture is created. This recommendation needs to be approved by the </w:t>
      </w:r>
      <w:proofErr w:type="spellStart"/>
      <w:r>
        <w:t>Unitu</w:t>
      </w:r>
      <w:proofErr w:type="spellEnd"/>
      <w:r>
        <w:t xml:space="preserve"> Steering Group and the </w:t>
      </w:r>
      <w:proofErr w:type="spellStart"/>
      <w:r>
        <w:t>Unitu</w:t>
      </w:r>
      <w:proofErr w:type="spellEnd"/>
      <w:r>
        <w:t xml:space="preserve"> technical team need to confirm whether this change is possible. </w:t>
      </w:r>
    </w:p>
    <w:p w:rsidR="00572676" w:rsidP="00031176" w:rsidRDefault="00572676" w14:paraId="241FD40C" w14:textId="77777777"/>
    <w:p w:rsidRPr="00A33ADA" w:rsidR="00572676" w:rsidP="00031176" w:rsidRDefault="00572676" w14:paraId="669C7CAA" w14:textId="58C16699">
      <w:r>
        <w:t xml:space="preserve">Additional recommendations included Year Reps and staff having a more proactive presence on the platform, feedback workshops for staff, educating students regarding feedback processes, comprehensive induction materials and ongoing promotion of </w:t>
      </w:r>
      <w:proofErr w:type="spellStart"/>
      <w:r>
        <w:t>Unitu</w:t>
      </w:r>
      <w:proofErr w:type="spellEnd"/>
      <w:r>
        <w:t xml:space="preserve"> throughout the 2021-2022 academic year.</w:t>
      </w:r>
    </w:p>
    <w:p w:rsidR="00A33ADA" w:rsidP="006F57D2" w:rsidRDefault="0066549B" w14:paraId="57686961" w14:textId="61A73E58">
      <w:pPr>
        <w:pStyle w:val="Heading1"/>
      </w:pPr>
      <w:r>
        <w:t>Staff feedback and survey</w:t>
      </w:r>
    </w:p>
    <w:p w:rsidR="00A33ADA" w:rsidP="00A33ADA" w:rsidRDefault="00A33ADA" w14:paraId="31126E5D" w14:textId="4C1F9BB8">
      <w:pPr>
        <w:rPr>
          <w:b/>
        </w:rPr>
      </w:pPr>
    </w:p>
    <w:p w:rsidR="00FB1142" w:rsidP="00A33ADA" w:rsidRDefault="00FB1142" w14:paraId="4E8B3CC0" w14:textId="285CEAD8">
      <w:r>
        <w:t xml:space="preserve">Feedback from the </w:t>
      </w:r>
      <w:proofErr w:type="spellStart"/>
      <w:r>
        <w:t>Unitu</w:t>
      </w:r>
      <w:proofErr w:type="spellEnd"/>
      <w:r>
        <w:t xml:space="preserve"> Working Group and ad-hoc staff feedback regarding </w:t>
      </w:r>
      <w:proofErr w:type="spellStart"/>
      <w:r>
        <w:t>Unitu</w:t>
      </w:r>
      <w:proofErr w:type="spellEnd"/>
      <w:r>
        <w:t xml:space="preserve"> has largely been negative, especially regarding anonymity and </w:t>
      </w:r>
      <w:r w:rsidR="005C7980">
        <w:t>rude content posted on the platform</w:t>
      </w:r>
      <w:r>
        <w:t xml:space="preserve">. To coincide with the SSPG, a staff survey was also circulated to illicit staff feedback in a formal manner. The full staff survey report can be found </w:t>
      </w:r>
      <w:hyperlink w:history="1" r:id="rId20">
        <w:r w:rsidRPr="00FB1142">
          <w:rPr>
            <w:rStyle w:val="Hyperlink"/>
          </w:rPr>
          <w:t>here</w:t>
        </w:r>
      </w:hyperlink>
      <w:r>
        <w:t>.</w:t>
      </w:r>
    </w:p>
    <w:p w:rsidR="00FB1142" w:rsidP="00A33ADA" w:rsidRDefault="00FB1142" w14:paraId="63C79703" w14:textId="77777777"/>
    <w:p w:rsidR="00FB1142" w:rsidP="00A33ADA" w:rsidRDefault="00FB1142" w14:paraId="4177EA36" w14:textId="27795D93">
      <w:r>
        <w:t xml:space="preserve">30 staff members responded to the survey, 28 of whom had an active role as part of </w:t>
      </w:r>
      <w:proofErr w:type="spellStart"/>
      <w:r>
        <w:t>Unitu</w:t>
      </w:r>
      <w:proofErr w:type="spellEnd"/>
      <w:r>
        <w:t xml:space="preserve">; whether that as a member of the Working or Steering Group, Course Director, Board Admin or Member of a departmental or University Board. </w:t>
      </w:r>
    </w:p>
    <w:p w:rsidR="00FB1142" w:rsidP="00A33ADA" w:rsidRDefault="00FB1142" w14:paraId="7607A30C" w14:textId="1E06EA9D"/>
    <w:p w:rsidR="00FB1142" w:rsidP="00FB1142" w:rsidRDefault="00FB1142" w14:paraId="1DD5AB17" w14:textId="70648CAD">
      <w:r>
        <w:t xml:space="preserve">The key difference in how </w:t>
      </w:r>
      <w:proofErr w:type="spellStart"/>
      <w:r>
        <w:t>Unitu</w:t>
      </w:r>
      <w:proofErr w:type="spellEnd"/>
      <w:r>
        <w:t xml:space="preserve"> is perceived between students and staff is differing perspectives regarding anonymity. 83% of students thought that </w:t>
      </w:r>
      <w:proofErr w:type="spellStart"/>
      <w:r>
        <w:t>Unitu</w:t>
      </w:r>
      <w:proofErr w:type="spellEnd"/>
      <w:r>
        <w:t xml:space="preserve"> was a good thing compared to 20% of staff. Some students saw anonymity as a positive for allowing them raise issues which they might not have been able to do so. Whilst some other students acknowledged that anonymity lead to rude content being created which discouraged them from engaging with the platform, whereas virtually all staff respondents had a negative perception of anonymity. </w:t>
      </w:r>
    </w:p>
    <w:p w:rsidR="00AB22DC" w:rsidP="00FB1142" w:rsidRDefault="00AB22DC" w14:paraId="5C75C00F" w14:textId="2C55D8FD"/>
    <w:p w:rsidR="00AB22DC" w:rsidP="00FB1142" w:rsidRDefault="00AB22DC" w14:paraId="74723E12" w14:textId="70352D3E">
      <w:r>
        <w:t xml:space="preserve">Generally speaking, staff were more negative about </w:t>
      </w:r>
      <w:proofErr w:type="spellStart"/>
      <w:r>
        <w:t>Unitu</w:t>
      </w:r>
      <w:proofErr w:type="spellEnd"/>
      <w:r>
        <w:t xml:space="preserve"> compared to students. For example, 53% of staff respondents considered </w:t>
      </w:r>
      <w:proofErr w:type="spellStart"/>
      <w:r>
        <w:t>Unitu</w:t>
      </w:r>
      <w:proofErr w:type="spellEnd"/>
      <w:r>
        <w:t xml:space="preserve"> to be useful, compared to 71% of </w:t>
      </w:r>
      <w:r>
        <w:lastRenderedPageBreak/>
        <w:t xml:space="preserve">students. Similarly, 27% of staff and 73% students agreed that </w:t>
      </w:r>
      <w:proofErr w:type="spellStart"/>
      <w:r>
        <w:t>Unitu</w:t>
      </w:r>
      <w:proofErr w:type="spellEnd"/>
      <w:r>
        <w:t xml:space="preserve"> is a good thing for St George’s.</w:t>
      </w:r>
      <w:r w:rsidR="00A90537">
        <w:t xml:space="preserve"> This difference in perception of </w:t>
      </w:r>
      <w:proofErr w:type="spellStart"/>
      <w:r w:rsidR="00A90537">
        <w:t>Unitu</w:t>
      </w:r>
      <w:proofErr w:type="spellEnd"/>
      <w:r w:rsidR="00A90537">
        <w:t xml:space="preserve"> can lead to tension, </w:t>
      </w:r>
      <w:r w:rsidR="000C3F63">
        <w:t xml:space="preserve">particularly if students are keen to engage with the platform and staff members are reluctant to do so. </w:t>
      </w:r>
    </w:p>
    <w:p w:rsidR="00FB1142" w:rsidP="00FB1142" w:rsidRDefault="00FB1142" w14:paraId="1EA99590" w14:textId="77777777"/>
    <w:p w:rsidR="00FB1142" w:rsidP="00FB1142" w:rsidRDefault="00FB1142" w14:paraId="29114DAD" w14:textId="7C0492FF">
      <w:r>
        <w:t>Staff feedback regarding the culture of kindness, usefulness of the platform, feedback resulting in positive change was all overwhelmingly negative and qualitative comments frequently referenced the ‘toxic’ and ‘poisonous’ nature of the platform</w:t>
      </w:r>
      <w:r w:rsidR="00464328">
        <w:t>. Some staff members also commented that the platform should be closed.</w:t>
      </w:r>
    </w:p>
    <w:p w:rsidR="00FB1142" w:rsidP="00A33ADA" w:rsidRDefault="00FB1142" w14:paraId="0A634834" w14:textId="7FA30FCA"/>
    <w:p w:rsidR="007E7E88" w:rsidP="007E7E88" w:rsidRDefault="00FB1142" w14:paraId="2A1F701D" w14:textId="0C92C5A0">
      <w:r>
        <w:t xml:space="preserve">The results from the staff survey were not surprising </w:t>
      </w:r>
      <w:r w:rsidR="00464328">
        <w:t>and largely reflected the feedback received from staff members over the course of the 2020-2021 academic year.</w:t>
      </w:r>
    </w:p>
    <w:p w:rsidR="10074770" w:rsidP="007D0482" w:rsidRDefault="007D0482" w14:paraId="2FAA1D8D" w14:textId="1319EC18">
      <w:pPr>
        <w:pStyle w:val="Heading1"/>
      </w:pPr>
      <w:r>
        <w:t>Summary</w:t>
      </w:r>
    </w:p>
    <w:p w:rsidRPr="00AB22DC" w:rsidR="00AB22DC" w:rsidP="00AB22DC" w:rsidRDefault="00AB22DC" w14:paraId="281D265C" w14:textId="77777777"/>
    <w:p w:rsidR="00464328" w:rsidP="392A6AED" w:rsidRDefault="00464328" w14:paraId="2B689D0E" w14:textId="260559B8">
      <w:pPr>
        <w:rPr>
          <w:rFonts w:ascii="Calibri" w:hAnsi="Calibri" w:eastAsia="Calibri" w:cs="Calibri"/>
        </w:rPr>
      </w:pPr>
      <w:r>
        <w:rPr>
          <w:rFonts w:ascii="Calibri" w:hAnsi="Calibri" w:eastAsia="Calibri" w:cs="Calibri"/>
        </w:rPr>
        <w:t xml:space="preserve">Over the course of the 2020-2021 academic year, engagement with </w:t>
      </w:r>
      <w:proofErr w:type="spellStart"/>
      <w:r>
        <w:rPr>
          <w:rFonts w:ascii="Calibri" w:hAnsi="Calibri" w:eastAsia="Calibri" w:cs="Calibri"/>
        </w:rPr>
        <w:t>Unitu</w:t>
      </w:r>
      <w:proofErr w:type="spellEnd"/>
      <w:r>
        <w:rPr>
          <w:rFonts w:ascii="Calibri" w:hAnsi="Calibri" w:eastAsia="Calibri" w:cs="Calibri"/>
        </w:rPr>
        <w:t xml:space="preserve"> has been consistent and sustained, particularly amongst Medicine and Biomedical students. Aside from a surge of engagement in January 2021, student engagement with </w:t>
      </w:r>
      <w:proofErr w:type="spellStart"/>
      <w:r>
        <w:rPr>
          <w:rFonts w:ascii="Calibri" w:hAnsi="Calibri" w:eastAsia="Calibri" w:cs="Calibri"/>
        </w:rPr>
        <w:t>Unitu</w:t>
      </w:r>
      <w:proofErr w:type="spellEnd"/>
      <w:r>
        <w:rPr>
          <w:rFonts w:ascii="Calibri" w:hAnsi="Calibri" w:eastAsia="Calibri" w:cs="Calibri"/>
        </w:rPr>
        <w:t xml:space="preserve"> has not reached the levels attained between March and May 2020, when the Covid-19 pandemic resulted in a significant increase in engagement.</w:t>
      </w:r>
    </w:p>
    <w:p w:rsidR="00464328" w:rsidP="392A6AED" w:rsidRDefault="00464328" w14:paraId="364FB2EC" w14:textId="2A8FE1BA">
      <w:pPr>
        <w:rPr>
          <w:rFonts w:ascii="Calibri" w:hAnsi="Calibri" w:eastAsia="Calibri" w:cs="Calibri"/>
        </w:rPr>
      </w:pPr>
    </w:p>
    <w:p w:rsidR="00464328" w:rsidP="392A6AED" w:rsidRDefault="00464328" w14:paraId="494E0550" w14:textId="224727AE">
      <w:pPr>
        <w:rPr>
          <w:rFonts w:ascii="Calibri" w:hAnsi="Calibri" w:eastAsia="Calibri" w:cs="Calibri"/>
        </w:rPr>
      </w:pPr>
      <w:r>
        <w:rPr>
          <w:rFonts w:ascii="Calibri" w:hAnsi="Calibri" w:eastAsia="Calibri" w:cs="Calibri"/>
        </w:rPr>
        <w:t xml:space="preserve">Student perceptions of the platform have largely stayed positive with the SSPG highlighting that </w:t>
      </w:r>
      <w:r>
        <w:t xml:space="preserve">73% of students felt that </w:t>
      </w:r>
      <w:proofErr w:type="spellStart"/>
      <w:r>
        <w:t>Unitu</w:t>
      </w:r>
      <w:proofErr w:type="spellEnd"/>
      <w:r>
        <w:t xml:space="preserve"> is a good thing for St George’s and 65% of students believed that </w:t>
      </w:r>
      <w:proofErr w:type="spellStart"/>
      <w:r>
        <w:t>Unitu</w:t>
      </w:r>
      <w:proofErr w:type="spellEnd"/>
      <w:r>
        <w:t xml:space="preserve"> has allowed them to have their voices heard. This reflects a positive overall perception of the platform. However, its usefulness can be questioned as only 41% of respondents agreed that posts on </w:t>
      </w:r>
      <w:proofErr w:type="spellStart"/>
      <w:r>
        <w:t>Unitu</w:t>
      </w:r>
      <w:proofErr w:type="spellEnd"/>
      <w:r>
        <w:t xml:space="preserve"> had led to positive change and 36% of respondents believed that feedback on </w:t>
      </w:r>
      <w:proofErr w:type="spellStart"/>
      <w:r>
        <w:t>Unitu</w:t>
      </w:r>
      <w:proofErr w:type="spellEnd"/>
      <w:r>
        <w:t xml:space="preserve"> was acted upon.</w:t>
      </w:r>
    </w:p>
    <w:p w:rsidRPr="007E7E88" w:rsidR="007E7E88" w:rsidP="007E7E88" w:rsidRDefault="007E7E88" w14:paraId="03EFCA41" w14:textId="77777777"/>
    <w:p w:rsidR="007E7E88" w:rsidP="00A92900" w:rsidRDefault="00AB22DC" w14:paraId="5F96A722" w14:textId="2F1B2014">
      <w:r>
        <w:t xml:space="preserve">As indicated by the staff survey, staff perceptions of the platform are very negative. Staff were more negative about </w:t>
      </w:r>
      <w:proofErr w:type="spellStart"/>
      <w:r>
        <w:t>Unitu</w:t>
      </w:r>
      <w:proofErr w:type="spellEnd"/>
      <w:r>
        <w:t xml:space="preserve"> compared to students. For example, 53% of staff respondents considered </w:t>
      </w:r>
      <w:proofErr w:type="spellStart"/>
      <w:r>
        <w:t>Unitu</w:t>
      </w:r>
      <w:proofErr w:type="spellEnd"/>
      <w:r>
        <w:t xml:space="preserve"> to be useful, compared to 71% of students. Similarly, 27% of staff and 73% students agreed that </w:t>
      </w:r>
      <w:proofErr w:type="spellStart"/>
      <w:r>
        <w:t>Unitu</w:t>
      </w:r>
      <w:proofErr w:type="spellEnd"/>
      <w:r>
        <w:t xml:space="preserve"> is a good thing for St George’s.</w:t>
      </w:r>
    </w:p>
    <w:p w:rsidR="00AB22DC" w:rsidP="00A92900" w:rsidRDefault="00AB22DC" w14:paraId="3EAA5C42" w14:textId="28A22446"/>
    <w:p w:rsidR="00AB22DC" w:rsidP="00A92900" w:rsidRDefault="006908FD" w14:paraId="6F56522A" w14:textId="1481BCC7">
      <w:r>
        <w:t xml:space="preserve">The usefulness of </w:t>
      </w:r>
      <w:proofErr w:type="spellStart"/>
      <w:r>
        <w:t>Unitu</w:t>
      </w:r>
      <w:proofErr w:type="spellEnd"/>
      <w:r>
        <w:t xml:space="preserve"> can certainly be improved</w:t>
      </w:r>
      <w:r w:rsidR="00AB22DC">
        <w:t xml:space="preserve"> with 43% of students and 27% staff </w:t>
      </w:r>
      <w:r>
        <w:t xml:space="preserve">currently </w:t>
      </w:r>
      <w:r w:rsidR="00AB22DC">
        <w:t xml:space="preserve">believing that </w:t>
      </w:r>
      <w:proofErr w:type="spellStart"/>
      <w:r w:rsidR="00AB22DC">
        <w:t>Unitu</w:t>
      </w:r>
      <w:proofErr w:type="spellEnd"/>
      <w:r w:rsidR="00AB22DC">
        <w:t xml:space="preserve"> has led to positive changes. Although engagement levels have been relatively high over the course of the 2020-2021 academic year, </w:t>
      </w:r>
      <w:proofErr w:type="spellStart"/>
      <w:r w:rsidR="00AB22DC">
        <w:t>Unitu</w:t>
      </w:r>
      <w:proofErr w:type="spellEnd"/>
      <w:r w:rsidR="00AB22DC">
        <w:t xml:space="preserve"> has not led to a plethora of changes which have benefitted the student experience. </w:t>
      </w:r>
    </w:p>
    <w:p w:rsidR="00AB22DC" w:rsidP="00A92900" w:rsidRDefault="00AB22DC" w14:paraId="52A53587" w14:textId="27036039"/>
    <w:p w:rsidRPr="00AB22DC" w:rsidR="00AB22DC" w:rsidP="00A92900" w:rsidRDefault="00AB22DC" w14:paraId="478F3EED" w14:textId="5033C841">
      <w:r>
        <w:t>Hopefully, the recommendations outlined in the SSPG and additional on-campus activity will le</w:t>
      </w:r>
      <w:r w:rsidR="006908FD">
        <w:t>a</w:t>
      </w:r>
      <w:r>
        <w:t xml:space="preserve">d to improvements in the perception of the platform, a more positive, professional and constructive culture and closer relationships between staff, Year Reps and students. </w:t>
      </w:r>
    </w:p>
    <w:sectPr w:rsidRPr="00AB22DC" w:rsidR="00AB22DC" w:rsidSect="0043457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3DEB"/>
    <w:multiLevelType w:val="hybridMultilevel"/>
    <w:tmpl w:val="307EB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96623"/>
    <w:multiLevelType w:val="hybridMultilevel"/>
    <w:tmpl w:val="27E8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A5DED"/>
    <w:multiLevelType w:val="hybridMultilevel"/>
    <w:tmpl w:val="2A02E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2791B"/>
    <w:multiLevelType w:val="hybridMultilevel"/>
    <w:tmpl w:val="C4FE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B9"/>
    <w:rsid w:val="00031176"/>
    <w:rsid w:val="00057AFE"/>
    <w:rsid w:val="00061EF6"/>
    <w:rsid w:val="000A4A11"/>
    <w:rsid w:val="000A778B"/>
    <w:rsid w:val="000C3F63"/>
    <w:rsid w:val="000F3300"/>
    <w:rsid w:val="0010134F"/>
    <w:rsid w:val="00123F18"/>
    <w:rsid w:val="0015494B"/>
    <w:rsid w:val="00181617"/>
    <w:rsid w:val="001D20B3"/>
    <w:rsid w:val="00203941"/>
    <w:rsid w:val="00287B19"/>
    <w:rsid w:val="002A511D"/>
    <w:rsid w:val="00326196"/>
    <w:rsid w:val="00335E01"/>
    <w:rsid w:val="003747EF"/>
    <w:rsid w:val="00381C9A"/>
    <w:rsid w:val="003D4708"/>
    <w:rsid w:val="004003CB"/>
    <w:rsid w:val="00434573"/>
    <w:rsid w:val="00464328"/>
    <w:rsid w:val="004A43A7"/>
    <w:rsid w:val="004A59CA"/>
    <w:rsid w:val="004C6389"/>
    <w:rsid w:val="004E2454"/>
    <w:rsid w:val="005000B8"/>
    <w:rsid w:val="00533395"/>
    <w:rsid w:val="00546C48"/>
    <w:rsid w:val="00572676"/>
    <w:rsid w:val="005C7980"/>
    <w:rsid w:val="005D0596"/>
    <w:rsid w:val="005E21CB"/>
    <w:rsid w:val="005E79B9"/>
    <w:rsid w:val="006217F7"/>
    <w:rsid w:val="0066549B"/>
    <w:rsid w:val="006674E2"/>
    <w:rsid w:val="006739CA"/>
    <w:rsid w:val="006908FD"/>
    <w:rsid w:val="006D7520"/>
    <w:rsid w:val="006F57D2"/>
    <w:rsid w:val="00721DC6"/>
    <w:rsid w:val="00724312"/>
    <w:rsid w:val="0075318C"/>
    <w:rsid w:val="007D0482"/>
    <w:rsid w:val="007E7E88"/>
    <w:rsid w:val="007F3C31"/>
    <w:rsid w:val="00895FE0"/>
    <w:rsid w:val="008C7B31"/>
    <w:rsid w:val="008D256F"/>
    <w:rsid w:val="00943D63"/>
    <w:rsid w:val="009815ED"/>
    <w:rsid w:val="009D33E4"/>
    <w:rsid w:val="00A33ADA"/>
    <w:rsid w:val="00A90537"/>
    <w:rsid w:val="00A92900"/>
    <w:rsid w:val="00AA6198"/>
    <w:rsid w:val="00AA646B"/>
    <w:rsid w:val="00AB22DC"/>
    <w:rsid w:val="00AB73B2"/>
    <w:rsid w:val="00AC0E22"/>
    <w:rsid w:val="00AD57C0"/>
    <w:rsid w:val="00BD6E31"/>
    <w:rsid w:val="00BE7B47"/>
    <w:rsid w:val="00C3613C"/>
    <w:rsid w:val="00CA23B7"/>
    <w:rsid w:val="00D3518E"/>
    <w:rsid w:val="00D36A57"/>
    <w:rsid w:val="00D41584"/>
    <w:rsid w:val="00D60318"/>
    <w:rsid w:val="00D628FB"/>
    <w:rsid w:val="00D70800"/>
    <w:rsid w:val="00DB4F3C"/>
    <w:rsid w:val="00EE7D07"/>
    <w:rsid w:val="00F168DB"/>
    <w:rsid w:val="00FB1142"/>
    <w:rsid w:val="00FC04AA"/>
    <w:rsid w:val="00FE1949"/>
    <w:rsid w:val="00FE6953"/>
    <w:rsid w:val="0104AF65"/>
    <w:rsid w:val="010B82E0"/>
    <w:rsid w:val="0192A39F"/>
    <w:rsid w:val="02A75341"/>
    <w:rsid w:val="038EF6AC"/>
    <w:rsid w:val="041A496D"/>
    <w:rsid w:val="0622BC02"/>
    <w:rsid w:val="06598EB7"/>
    <w:rsid w:val="06A682C2"/>
    <w:rsid w:val="06F8604C"/>
    <w:rsid w:val="07B36E12"/>
    <w:rsid w:val="07B589F3"/>
    <w:rsid w:val="089DE72E"/>
    <w:rsid w:val="0B8D59CB"/>
    <w:rsid w:val="10074770"/>
    <w:rsid w:val="11374335"/>
    <w:rsid w:val="129906AB"/>
    <w:rsid w:val="12D3436F"/>
    <w:rsid w:val="135017A0"/>
    <w:rsid w:val="138CF350"/>
    <w:rsid w:val="182D7378"/>
    <w:rsid w:val="1884ED9F"/>
    <w:rsid w:val="1AE80A41"/>
    <w:rsid w:val="1B03BA21"/>
    <w:rsid w:val="1B0AF029"/>
    <w:rsid w:val="1B8236D7"/>
    <w:rsid w:val="1BAB6B1B"/>
    <w:rsid w:val="1BB11C44"/>
    <w:rsid w:val="1CC42317"/>
    <w:rsid w:val="1E230502"/>
    <w:rsid w:val="2105A2EE"/>
    <w:rsid w:val="21D9192F"/>
    <w:rsid w:val="21F1785B"/>
    <w:rsid w:val="226876F3"/>
    <w:rsid w:val="22D4D0BE"/>
    <w:rsid w:val="23153CF3"/>
    <w:rsid w:val="234980BD"/>
    <w:rsid w:val="2362A21D"/>
    <w:rsid w:val="2475BB18"/>
    <w:rsid w:val="24F59A6E"/>
    <w:rsid w:val="25392504"/>
    <w:rsid w:val="25D1268B"/>
    <w:rsid w:val="25D91411"/>
    <w:rsid w:val="280BCBA4"/>
    <w:rsid w:val="281D611F"/>
    <w:rsid w:val="285A42F7"/>
    <w:rsid w:val="29A9586A"/>
    <w:rsid w:val="2B49E390"/>
    <w:rsid w:val="2DAEEDD7"/>
    <w:rsid w:val="2FE07903"/>
    <w:rsid w:val="30C36ADB"/>
    <w:rsid w:val="312929E6"/>
    <w:rsid w:val="32D09B0A"/>
    <w:rsid w:val="3380D0D6"/>
    <w:rsid w:val="339402AF"/>
    <w:rsid w:val="33A80B6D"/>
    <w:rsid w:val="33E456C6"/>
    <w:rsid w:val="33F02D4D"/>
    <w:rsid w:val="34972F79"/>
    <w:rsid w:val="34D1E641"/>
    <w:rsid w:val="34D3FE48"/>
    <w:rsid w:val="3510FF41"/>
    <w:rsid w:val="35EF37DB"/>
    <w:rsid w:val="363B62B0"/>
    <w:rsid w:val="369C5170"/>
    <w:rsid w:val="38137E5E"/>
    <w:rsid w:val="384126DA"/>
    <w:rsid w:val="386248D3"/>
    <w:rsid w:val="388AD540"/>
    <w:rsid w:val="392A6AED"/>
    <w:rsid w:val="3967469D"/>
    <w:rsid w:val="3A7D6A7B"/>
    <w:rsid w:val="3B3FAD03"/>
    <w:rsid w:val="3D55CEA2"/>
    <w:rsid w:val="3D7CDBF4"/>
    <w:rsid w:val="3FA2D234"/>
    <w:rsid w:val="40BC718D"/>
    <w:rsid w:val="40C6D0D0"/>
    <w:rsid w:val="4101A305"/>
    <w:rsid w:val="42EEC9C3"/>
    <w:rsid w:val="43BE23D7"/>
    <w:rsid w:val="44A8CA72"/>
    <w:rsid w:val="4560E087"/>
    <w:rsid w:val="49D43E3D"/>
    <w:rsid w:val="4A5B5EFC"/>
    <w:rsid w:val="4AECBEF0"/>
    <w:rsid w:val="4BB7FAE5"/>
    <w:rsid w:val="4BF72F5D"/>
    <w:rsid w:val="4C347B12"/>
    <w:rsid w:val="4D220600"/>
    <w:rsid w:val="4F2B7620"/>
    <w:rsid w:val="507CACD2"/>
    <w:rsid w:val="50DAE9D0"/>
    <w:rsid w:val="50F1818D"/>
    <w:rsid w:val="5146DF5C"/>
    <w:rsid w:val="51C764CA"/>
    <w:rsid w:val="52BF0907"/>
    <w:rsid w:val="538558CF"/>
    <w:rsid w:val="54F09EF7"/>
    <w:rsid w:val="551A28AB"/>
    <w:rsid w:val="56318A3B"/>
    <w:rsid w:val="565B38BF"/>
    <w:rsid w:val="56A1172F"/>
    <w:rsid w:val="56C99992"/>
    <w:rsid w:val="573E758B"/>
    <w:rsid w:val="57D5B977"/>
    <w:rsid w:val="583DB0DE"/>
    <w:rsid w:val="587B73B4"/>
    <w:rsid w:val="589CC3D8"/>
    <w:rsid w:val="5BBC1A75"/>
    <w:rsid w:val="5D181DD8"/>
    <w:rsid w:val="5ED0C13A"/>
    <w:rsid w:val="5F795211"/>
    <w:rsid w:val="608BC174"/>
    <w:rsid w:val="60EADCFA"/>
    <w:rsid w:val="6169C8CE"/>
    <w:rsid w:val="6317FAC9"/>
    <w:rsid w:val="6403BA2E"/>
    <w:rsid w:val="6448386A"/>
    <w:rsid w:val="64AF37A3"/>
    <w:rsid w:val="64B2C9F3"/>
    <w:rsid w:val="652C8595"/>
    <w:rsid w:val="65BFB543"/>
    <w:rsid w:val="67F0F44C"/>
    <w:rsid w:val="68EAA73F"/>
    <w:rsid w:val="68FB83D2"/>
    <w:rsid w:val="694A609D"/>
    <w:rsid w:val="6A5D435C"/>
    <w:rsid w:val="6B8B1B5B"/>
    <w:rsid w:val="6D6A447C"/>
    <w:rsid w:val="6DB19ECB"/>
    <w:rsid w:val="6E6E1356"/>
    <w:rsid w:val="71993A81"/>
    <w:rsid w:val="730BE419"/>
    <w:rsid w:val="75434EA8"/>
    <w:rsid w:val="75755661"/>
    <w:rsid w:val="758FF344"/>
    <w:rsid w:val="775194C2"/>
    <w:rsid w:val="77955CC1"/>
    <w:rsid w:val="78195FF6"/>
    <w:rsid w:val="784557B5"/>
    <w:rsid w:val="784D593F"/>
    <w:rsid w:val="799848B4"/>
    <w:rsid w:val="79C7FFB9"/>
    <w:rsid w:val="7AA13B55"/>
    <w:rsid w:val="7BF689A8"/>
    <w:rsid w:val="7C2CF36B"/>
    <w:rsid w:val="7D2C2EBE"/>
    <w:rsid w:val="7E6404E6"/>
    <w:rsid w:val="7EEDA4C2"/>
    <w:rsid w:val="7FBEF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510B"/>
  <w15:chartTrackingRefBased/>
  <w15:docId w15:val="{42F36D05-891D-E243-A318-FA90D495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9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9B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815ED"/>
    <w:pPr>
      <w:ind w:left="720"/>
      <w:contextualSpacing/>
    </w:pPr>
  </w:style>
  <w:style w:type="table" w:styleId="TableGrid">
    <w:name w:val="Table Grid"/>
    <w:basedOn w:val="TableNormal"/>
    <w:uiPriority w:val="39"/>
    <w:rsid w:val="004A4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0596"/>
    <w:rPr>
      <w:color w:val="0563C1" w:themeColor="hyperlink"/>
      <w:u w:val="single"/>
    </w:rPr>
  </w:style>
  <w:style w:type="character" w:styleId="UnresolvedMention">
    <w:name w:val="Unresolved Mention"/>
    <w:basedOn w:val="DefaultParagraphFont"/>
    <w:uiPriority w:val="99"/>
    <w:semiHidden/>
    <w:unhideWhenUsed/>
    <w:rsid w:val="005D0596"/>
    <w:rPr>
      <w:color w:val="605E5C"/>
      <w:shd w:val="clear" w:color="auto" w:fill="E1DFDD"/>
    </w:rPr>
  </w:style>
  <w:style w:type="character" w:customStyle="1" w:styleId="markjileuy5i6">
    <w:name w:val="markjileuy5i6"/>
    <w:basedOn w:val="DefaultParagraphFont"/>
    <w:rsid w:val="005D0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08">
      <w:bodyDiv w:val="1"/>
      <w:marLeft w:val="0"/>
      <w:marRight w:val="0"/>
      <w:marTop w:val="0"/>
      <w:marBottom w:val="0"/>
      <w:divBdr>
        <w:top w:val="none" w:sz="0" w:space="0" w:color="auto"/>
        <w:left w:val="none" w:sz="0" w:space="0" w:color="auto"/>
        <w:bottom w:val="none" w:sz="0" w:space="0" w:color="auto"/>
        <w:right w:val="none" w:sz="0" w:space="0" w:color="auto"/>
      </w:divBdr>
    </w:div>
    <w:div w:id="26957376">
      <w:bodyDiv w:val="1"/>
      <w:marLeft w:val="0"/>
      <w:marRight w:val="0"/>
      <w:marTop w:val="0"/>
      <w:marBottom w:val="0"/>
      <w:divBdr>
        <w:top w:val="none" w:sz="0" w:space="0" w:color="auto"/>
        <w:left w:val="none" w:sz="0" w:space="0" w:color="auto"/>
        <w:bottom w:val="none" w:sz="0" w:space="0" w:color="auto"/>
        <w:right w:val="none" w:sz="0" w:space="0" w:color="auto"/>
      </w:divBdr>
    </w:div>
    <w:div w:id="57362643">
      <w:bodyDiv w:val="1"/>
      <w:marLeft w:val="0"/>
      <w:marRight w:val="0"/>
      <w:marTop w:val="0"/>
      <w:marBottom w:val="0"/>
      <w:divBdr>
        <w:top w:val="none" w:sz="0" w:space="0" w:color="auto"/>
        <w:left w:val="none" w:sz="0" w:space="0" w:color="auto"/>
        <w:bottom w:val="none" w:sz="0" w:space="0" w:color="auto"/>
        <w:right w:val="none" w:sz="0" w:space="0" w:color="auto"/>
      </w:divBdr>
    </w:div>
    <w:div w:id="77943399">
      <w:bodyDiv w:val="1"/>
      <w:marLeft w:val="0"/>
      <w:marRight w:val="0"/>
      <w:marTop w:val="0"/>
      <w:marBottom w:val="0"/>
      <w:divBdr>
        <w:top w:val="none" w:sz="0" w:space="0" w:color="auto"/>
        <w:left w:val="none" w:sz="0" w:space="0" w:color="auto"/>
        <w:bottom w:val="none" w:sz="0" w:space="0" w:color="auto"/>
        <w:right w:val="none" w:sz="0" w:space="0" w:color="auto"/>
      </w:divBdr>
    </w:div>
    <w:div w:id="152112391">
      <w:bodyDiv w:val="1"/>
      <w:marLeft w:val="0"/>
      <w:marRight w:val="0"/>
      <w:marTop w:val="0"/>
      <w:marBottom w:val="0"/>
      <w:divBdr>
        <w:top w:val="none" w:sz="0" w:space="0" w:color="auto"/>
        <w:left w:val="none" w:sz="0" w:space="0" w:color="auto"/>
        <w:bottom w:val="none" w:sz="0" w:space="0" w:color="auto"/>
        <w:right w:val="none" w:sz="0" w:space="0" w:color="auto"/>
      </w:divBdr>
    </w:div>
    <w:div w:id="180969390">
      <w:bodyDiv w:val="1"/>
      <w:marLeft w:val="0"/>
      <w:marRight w:val="0"/>
      <w:marTop w:val="0"/>
      <w:marBottom w:val="0"/>
      <w:divBdr>
        <w:top w:val="none" w:sz="0" w:space="0" w:color="auto"/>
        <w:left w:val="none" w:sz="0" w:space="0" w:color="auto"/>
        <w:bottom w:val="none" w:sz="0" w:space="0" w:color="auto"/>
        <w:right w:val="none" w:sz="0" w:space="0" w:color="auto"/>
      </w:divBdr>
    </w:div>
    <w:div w:id="212814275">
      <w:bodyDiv w:val="1"/>
      <w:marLeft w:val="0"/>
      <w:marRight w:val="0"/>
      <w:marTop w:val="0"/>
      <w:marBottom w:val="0"/>
      <w:divBdr>
        <w:top w:val="none" w:sz="0" w:space="0" w:color="auto"/>
        <w:left w:val="none" w:sz="0" w:space="0" w:color="auto"/>
        <w:bottom w:val="none" w:sz="0" w:space="0" w:color="auto"/>
        <w:right w:val="none" w:sz="0" w:space="0" w:color="auto"/>
      </w:divBdr>
    </w:div>
    <w:div w:id="245503269">
      <w:bodyDiv w:val="1"/>
      <w:marLeft w:val="0"/>
      <w:marRight w:val="0"/>
      <w:marTop w:val="0"/>
      <w:marBottom w:val="0"/>
      <w:divBdr>
        <w:top w:val="none" w:sz="0" w:space="0" w:color="auto"/>
        <w:left w:val="none" w:sz="0" w:space="0" w:color="auto"/>
        <w:bottom w:val="none" w:sz="0" w:space="0" w:color="auto"/>
        <w:right w:val="none" w:sz="0" w:space="0" w:color="auto"/>
      </w:divBdr>
    </w:div>
    <w:div w:id="290982819">
      <w:bodyDiv w:val="1"/>
      <w:marLeft w:val="0"/>
      <w:marRight w:val="0"/>
      <w:marTop w:val="0"/>
      <w:marBottom w:val="0"/>
      <w:divBdr>
        <w:top w:val="none" w:sz="0" w:space="0" w:color="auto"/>
        <w:left w:val="none" w:sz="0" w:space="0" w:color="auto"/>
        <w:bottom w:val="none" w:sz="0" w:space="0" w:color="auto"/>
        <w:right w:val="none" w:sz="0" w:space="0" w:color="auto"/>
      </w:divBdr>
    </w:div>
    <w:div w:id="391390548">
      <w:bodyDiv w:val="1"/>
      <w:marLeft w:val="0"/>
      <w:marRight w:val="0"/>
      <w:marTop w:val="0"/>
      <w:marBottom w:val="0"/>
      <w:divBdr>
        <w:top w:val="none" w:sz="0" w:space="0" w:color="auto"/>
        <w:left w:val="none" w:sz="0" w:space="0" w:color="auto"/>
        <w:bottom w:val="none" w:sz="0" w:space="0" w:color="auto"/>
        <w:right w:val="none" w:sz="0" w:space="0" w:color="auto"/>
      </w:divBdr>
    </w:div>
    <w:div w:id="391579829">
      <w:bodyDiv w:val="1"/>
      <w:marLeft w:val="0"/>
      <w:marRight w:val="0"/>
      <w:marTop w:val="0"/>
      <w:marBottom w:val="0"/>
      <w:divBdr>
        <w:top w:val="none" w:sz="0" w:space="0" w:color="auto"/>
        <w:left w:val="none" w:sz="0" w:space="0" w:color="auto"/>
        <w:bottom w:val="none" w:sz="0" w:space="0" w:color="auto"/>
        <w:right w:val="none" w:sz="0" w:space="0" w:color="auto"/>
      </w:divBdr>
    </w:div>
    <w:div w:id="402416586">
      <w:bodyDiv w:val="1"/>
      <w:marLeft w:val="0"/>
      <w:marRight w:val="0"/>
      <w:marTop w:val="0"/>
      <w:marBottom w:val="0"/>
      <w:divBdr>
        <w:top w:val="none" w:sz="0" w:space="0" w:color="auto"/>
        <w:left w:val="none" w:sz="0" w:space="0" w:color="auto"/>
        <w:bottom w:val="none" w:sz="0" w:space="0" w:color="auto"/>
        <w:right w:val="none" w:sz="0" w:space="0" w:color="auto"/>
      </w:divBdr>
    </w:div>
    <w:div w:id="420955844">
      <w:bodyDiv w:val="1"/>
      <w:marLeft w:val="0"/>
      <w:marRight w:val="0"/>
      <w:marTop w:val="0"/>
      <w:marBottom w:val="0"/>
      <w:divBdr>
        <w:top w:val="none" w:sz="0" w:space="0" w:color="auto"/>
        <w:left w:val="none" w:sz="0" w:space="0" w:color="auto"/>
        <w:bottom w:val="none" w:sz="0" w:space="0" w:color="auto"/>
        <w:right w:val="none" w:sz="0" w:space="0" w:color="auto"/>
      </w:divBdr>
    </w:div>
    <w:div w:id="451368055">
      <w:bodyDiv w:val="1"/>
      <w:marLeft w:val="0"/>
      <w:marRight w:val="0"/>
      <w:marTop w:val="0"/>
      <w:marBottom w:val="0"/>
      <w:divBdr>
        <w:top w:val="none" w:sz="0" w:space="0" w:color="auto"/>
        <w:left w:val="none" w:sz="0" w:space="0" w:color="auto"/>
        <w:bottom w:val="none" w:sz="0" w:space="0" w:color="auto"/>
        <w:right w:val="none" w:sz="0" w:space="0" w:color="auto"/>
      </w:divBdr>
    </w:div>
    <w:div w:id="473718853">
      <w:bodyDiv w:val="1"/>
      <w:marLeft w:val="0"/>
      <w:marRight w:val="0"/>
      <w:marTop w:val="0"/>
      <w:marBottom w:val="0"/>
      <w:divBdr>
        <w:top w:val="none" w:sz="0" w:space="0" w:color="auto"/>
        <w:left w:val="none" w:sz="0" w:space="0" w:color="auto"/>
        <w:bottom w:val="none" w:sz="0" w:space="0" w:color="auto"/>
        <w:right w:val="none" w:sz="0" w:space="0" w:color="auto"/>
      </w:divBdr>
    </w:div>
    <w:div w:id="519470335">
      <w:bodyDiv w:val="1"/>
      <w:marLeft w:val="0"/>
      <w:marRight w:val="0"/>
      <w:marTop w:val="0"/>
      <w:marBottom w:val="0"/>
      <w:divBdr>
        <w:top w:val="none" w:sz="0" w:space="0" w:color="auto"/>
        <w:left w:val="none" w:sz="0" w:space="0" w:color="auto"/>
        <w:bottom w:val="none" w:sz="0" w:space="0" w:color="auto"/>
        <w:right w:val="none" w:sz="0" w:space="0" w:color="auto"/>
      </w:divBdr>
    </w:div>
    <w:div w:id="522088945">
      <w:bodyDiv w:val="1"/>
      <w:marLeft w:val="0"/>
      <w:marRight w:val="0"/>
      <w:marTop w:val="0"/>
      <w:marBottom w:val="0"/>
      <w:divBdr>
        <w:top w:val="none" w:sz="0" w:space="0" w:color="auto"/>
        <w:left w:val="none" w:sz="0" w:space="0" w:color="auto"/>
        <w:bottom w:val="none" w:sz="0" w:space="0" w:color="auto"/>
        <w:right w:val="none" w:sz="0" w:space="0" w:color="auto"/>
      </w:divBdr>
    </w:div>
    <w:div w:id="540673341">
      <w:bodyDiv w:val="1"/>
      <w:marLeft w:val="0"/>
      <w:marRight w:val="0"/>
      <w:marTop w:val="0"/>
      <w:marBottom w:val="0"/>
      <w:divBdr>
        <w:top w:val="none" w:sz="0" w:space="0" w:color="auto"/>
        <w:left w:val="none" w:sz="0" w:space="0" w:color="auto"/>
        <w:bottom w:val="none" w:sz="0" w:space="0" w:color="auto"/>
        <w:right w:val="none" w:sz="0" w:space="0" w:color="auto"/>
      </w:divBdr>
    </w:div>
    <w:div w:id="590240752">
      <w:bodyDiv w:val="1"/>
      <w:marLeft w:val="0"/>
      <w:marRight w:val="0"/>
      <w:marTop w:val="0"/>
      <w:marBottom w:val="0"/>
      <w:divBdr>
        <w:top w:val="none" w:sz="0" w:space="0" w:color="auto"/>
        <w:left w:val="none" w:sz="0" w:space="0" w:color="auto"/>
        <w:bottom w:val="none" w:sz="0" w:space="0" w:color="auto"/>
        <w:right w:val="none" w:sz="0" w:space="0" w:color="auto"/>
      </w:divBdr>
    </w:div>
    <w:div w:id="597905947">
      <w:bodyDiv w:val="1"/>
      <w:marLeft w:val="0"/>
      <w:marRight w:val="0"/>
      <w:marTop w:val="0"/>
      <w:marBottom w:val="0"/>
      <w:divBdr>
        <w:top w:val="none" w:sz="0" w:space="0" w:color="auto"/>
        <w:left w:val="none" w:sz="0" w:space="0" w:color="auto"/>
        <w:bottom w:val="none" w:sz="0" w:space="0" w:color="auto"/>
        <w:right w:val="none" w:sz="0" w:space="0" w:color="auto"/>
      </w:divBdr>
    </w:div>
    <w:div w:id="631594576">
      <w:bodyDiv w:val="1"/>
      <w:marLeft w:val="0"/>
      <w:marRight w:val="0"/>
      <w:marTop w:val="0"/>
      <w:marBottom w:val="0"/>
      <w:divBdr>
        <w:top w:val="none" w:sz="0" w:space="0" w:color="auto"/>
        <w:left w:val="none" w:sz="0" w:space="0" w:color="auto"/>
        <w:bottom w:val="none" w:sz="0" w:space="0" w:color="auto"/>
        <w:right w:val="none" w:sz="0" w:space="0" w:color="auto"/>
      </w:divBdr>
    </w:div>
    <w:div w:id="815226677">
      <w:bodyDiv w:val="1"/>
      <w:marLeft w:val="0"/>
      <w:marRight w:val="0"/>
      <w:marTop w:val="0"/>
      <w:marBottom w:val="0"/>
      <w:divBdr>
        <w:top w:val="none" w:sz="0" w:space="0" w:color="auto"/>
        <w:left w:val="none" w:sz="0" w:space="0" w:color="auto"/>
        <w:bottom w:val="none" w:sz="0" w:space="0" w:color="auto"/>
        <w:right w:val="none" w:sz="0" w:space="0" w:color="auto"/>
      </w:divBdr>
    </w:div>
    <w:div w:id="932591175">
      <w:bodyDiv w:val="1"/>
      <w:marLeft w:val="0"/>
      <w:marRight w:val="0"/>
      <w:marTop w:val="0"/>
      <w:marBottom w:val="0"/>
      <w:divBdr>
        <w:top w:val="none" w:sz="0" w:space="0" w:color="auto"/>
        <w:left w:val="none" w:sz="0" w:space="0" w:color="auto"/>
        <w:bottom w:val="none" w:sz="0" w:space="0" w:color="auto"/>
        <w:right w:val="none" w:sz="0" w:space="0" w:color="auto"/>
      </w:divBdr>
    </w:div>
    <w:div w:id="942961747">
      <w:bodyDiv w:val="1"/>
      <w:marLeft w:val="0"/>
      <w:marRight w:val="0"/>
      <w:marTop w:val="0"/>
      <w:marBottom w:val="0"/>
      <w:divBdr>
        <w:top w:val="none" w:sz="0" w:space="0" w:color="auto"/>
        <w:left w:val="none" w:sz="0" w:space="0" w:color="auto"/>
        <w:bottom w:val="none" w:sz="0" w:space="0" w:color="auto"/>
        <w:right w:val="none" w:sz="0" w:space="0" w:color="auto"/>
      </w:divBdr>
    </w:div>
    <w:div w:id="992300353">
      <w:bodyDiv w:val="1"/>
      <w:marLeft w:val="0"/>
      <w:marRight w:val="0"/>
      <w:marTop w:val="0"/>
      <w:marBottom w:val="0"/>
      <w:divBdr>
        <w:top w:val="none" w:sz="0" w:space="0" w:color="auto"/>
        <w:left w:val="none" w:sz="0" w:space="0" w:color="auto"/>
        <w:bottom w:val="none" w:sz="0" w:space="0" w:color="auto"/>
        <w:right w:val="none" w:sz="0" w:space="0" w:color="auto"/>
      </w:divBdr>
    </w:div>
    <w:div w:id="1103841995">
      <w:bodyDiv w:val="1"/>
      <w:marLeft w:val="0"/>
      <w:marRight w:val="0"/>
      <w:marTop w:val="0"/>
      <w:marBottom w:val="0"/>
      <w:divBdr>
        <w:top w:val="none" w:sz="0" w:space="0" w:color="auto"/>
        <w:left w:val="none" w:sz="0" w:space="0" w:color="auto"/>
        <w:bottom w:val="none" w:sz="0" w:space="0" w:color="auto"/>
        <w:right w:val="none" w:sz="0" w:space="0" w:color="auto"/>
      </w:divBdr>
    </w:div>
    <w:div w:id="1166554512">
      <w:bodyDiv w:val="1"/>
      <w:marLeft w:val="0"/>
      <w:marRight w:val="0"/>
      <w:marTop w:val="0"/>
      <w:marBottom w:val="0"/>
      <w:divBdr>
        <w:top w:val="none" w:sz="0" w:space="0" w:color="auto"/>
        <w:left w:val="none" w:sz="0" w:space="0" w:color="auto"/>
        <w:bottom w:val="none" w:sz="0" w:space="0" w:color="auto"/>
        <w:right w:val="none" w:sz="0" w:space="0" w:color="auto"/>
      </w:divBdr>
    </w:div>
    <w:div w:id="1259098936">
      <w:bodyDiv w:val="1"/>
      <w:marLeft w:val="0"/>
      <w:marRight w:val="0"/>
      <w:marTop w:val="0"/>
      <w:marBottom w:val="0"/>
      <w:divBdr>
        <w:top w:val="none" w:sz="0" w:space="0" w:color="auto"/>
        <w:left w:val="none" w:sz="0" w:space="0" w:color="auto"/>
        <w:bottom w:val="none" w:sz="0" w:space="0" w:color="auto"/>
        <w:right w:val="none" w:sz="0" w:space="0" w:color="auto"/>
      </w:divBdr>
    </w:div>
    <w:div w:id="1274751572">
      <w:bodyDiv w:val="1"/>
      <w:marLeft w:val="0"/>
      <w:marRight w:val="0"/>
      <w:marTop w:val="0"/>
      <w:marBottom w:val="0"/>
      <w:divBdr>
        <w:top w:val="none" w:sz="0" w:space="0" w:color="auto"/>
        <w:left w:val="none" w:sz="0" w:space="0" w:color="auto"/>
        <w:bottom w:val="none" w:sz="0" w:space="0" w:color="auto"/>
        <w:right w:val="none" w:sz="0" w:space="0" w:color="auto"/>
      </w:divBdr>
    </w:div>
    <w:div w:id="1288512299">
      <w:bodyDiv w:val="1"/>
      <w:marLeft w:val="0"/>
      <w:marRight w:val="0"/>
      <w:marTop w:val="0"/>
      <w:marBottom w:val="0"/>
      <w:divBdr>
        <w:top w:val="none" w:sz="0" w:space="0" w:color="auto"/>
        <w:left w:val="none" w:sz="0" w:space="0" w:color="auto"/>
        <w:bottom w:val="none" w:sz="0" w:space="0" w:color="auto"/>
        <w:right w:val="none" w:sz="0" w:space="0" w:color="auto"/>
      </w:divBdr>
    </w:div>
    <w:div w:id="1300916806">
      <w:bodyDiv w:val="1"/>
      <w:marLeft w:val="0"/>
      <w:marRight w:val="0"/>
      <w:marTop w:val="0"/>
      <w:marBottom w:val="0"/>
      <w:divBdr>
        <w:top w:val="none" w:sz="0" w:space="0" w:color="auto"/>
        <w:left w:val="none" w:sz="0" w:space="0" w:color="auto"/>
        <w:bottom w:val="none" w:sz="0" w:space="0" w:color="auto"/>
        <w:right w:val="none" w:sz="0" w:space="0" w:color="auto"/>
      </w:divBdr>
    </w:div>
    <w:div w:id="1366367547">
      <w:bodyDiv w:val="1"/>
      <w:marLeft w:val="0"/>
      <w:marRight w:val="0"/>
      <w:marTop w:val="0"/>
      <w:marBottom w:val="0"/>
      <w:divBdr>
        <w:top w:val="none" w:sz="0" w:space="0" w:color="auto"/>
        <w:left w:val="none" w:sz="0" w:space="0" w:color="auto"/>
        <w:bottom w:val="none" w:sz="0" w:space="0" w:color="auto"/>
        <w:right w:val="none" w:sz="0" w:space="0" w:color="auto"/>
      </w:divBdr>
    </w:div>
    <w:div w:id="1383165875">
      <w:bodyDiv w:val="1"/>
      <w:marLeft w:val="0"/>
      <w:marRight w:val="0"/>
      <w:marTop w:val="0"/>
      <w:marBottom w:val="0"/>
      <w:divBdr>
        <w:top w:val="none" w:sz="0" w:space="0" w:color="auto"/>
        <w:left w:val="none" w:sz="0" w:space="0" w:color="auto"/>
        <w:bottom w:val="none" w:sz="0" w:space="0" w:color="auto"/>
        <w:right w:val="none" w:sz="0" w:space="0" w:color="auto"/>
      </w:divBdr>
    </w:div>
    <w:div w:id="1390230714">
      <w:bodyDiv w:val="1"/>
      <w:marLeft w:val="0"/>
      <w:marRight w:val="0"/>
      <w:marTop w:val="0"/>
      <w:marBottom w:val="0"/>
      <w:divBdr>
        <w:top w:val="none" w:sz="0" w:space="0" w:color="auto"/>
        <w:left w:val="none" w:sz="0" w:space="0" w:color="auto"/>
        <w:bottom w:val="none" w:sz="0" w:space="0" w:color="auto"/>
        <w:right w:val="none" w:sz="0" w:space="0" w:color="auto"/>
      </w:divBdr>
    </w:div>
    <w:div w:id="1391155533">
      <w:bodyDiv w:val="1"/>
      <w:marLeft w:val="0"/>
      <w:marRight w:val="0"/>
      <w:marTop w:val="0"/>
      <w:marBottom w:val="0"/>
      <w:divBdr>
        <w:top w:val="none" w:sz="0" w:space="0" w:color="auto"/>
        <w:left w:val="none" w:sz="0" w:space="0" w:color="auto"/>
        <w:bottom w:val="none" w:sz="0" w:space="0" w:color="auto"/>
        <w:right w:val="none" w:sz="0" w:space="0" w:color="auto"/>
      </w:divBdr>
    </w:div>
    <w:div w:id="1475679798">
      <w:bodyDiv w:val="1"/>
      <w:marLeft w:val="0"/>
      <w:marRight w:val="0"/>
      <w:marTop w:val="0"/>
      <w:marBottom w:val="0"/>
      <w:divBdr>
        <w:top w:val="none" w:sz="0" w:space="0" w:color="auto"/>
        <w:left w:val="none" w:sz="0" w:space="0" w:color="auto"/>
        <w:bottom w:val="none" w:sz="0" w:space="0" w:color="auto"/>
        <w:right w:val="none" w:sz="0" w:space="0" w:color="auto"/>
      </w:divBdr>
    </w:div>
    <w:div w:id="1546872901">
      <w:bodyDiv w:val="1"/>
      <w:marLeft w:val="0"/>
      <w:marRight w:val="0"/>
      <w:marTop w:val="0"/>
      <w:marBottom w:val="0"/>
      <w:divBdr>
        <w:top w:val="none" w:sz="0" w:space="0" w:color="auto"/>
        <w:left w:val="none" w:sz="0" w:space="0" w:color="auto"/>
        <w:bottom w:val="none" w:sz="0" w:space="0" w:color="auto"/>
        <w:right w:val="none" w:sz="0" w:space="0" w:color="auto"/>
      </w:divBdr>
    </w:div>
    <w:div w:id="1608462696">
      <w:bodyDiv w:val="1"/>
      <w:marLeft w:val="0"/>
      <w:marRight w:val="0"/>
      <w:marTop w:val="0"/>
      <w:marBottom w:val="0"/>
      <w:divBdr>
        <w:top w:val="none" w:sz="0" w:space="0" w:color="auto"/>
        <w:left w:val="none" w:sz="0" w:space="0" w:color="auto"/>
        <w:bottom w:val="none" w:sz="0" w:space="0" w:color="auto"/>
        <w:right w:val="none" w:sz="0" w:space="0" w:color="auto"/>
      </w:divBdr>
    </w:div>
    <w:div w:id="1638872615">
      <w:bodyDiv w:val="1"/>
      <w:marLeft w:val="0"/>
      <w:marRight w:val="0"/>
      <w:marTop w:val="0"/>
      <w:marBottom w:val="0"/>
      <w:divBdr>
        <w:top w:val="none" w:sz="0" w:space="0" w:color="auto"/>
        <w:left w:val="none" w:sz="0" w:space="0" w:color="auto"/>
        <w:bottom w:val="none" w:sz="0" w:space="0" w:color="auto"/>
        <w:right w:val="none" w:sz="0" w:space="0" w:color="auto"/>
      </w:divBdr>
    </w:div>
    <w:div w:id="1694568955">
      <w:bodyDiv w:val="1"/>
      <w:marLeft w:val="0"/>
      <w:marRight w:val="0"/>
      <w:marTop w:val="0"/>
      <w:marBottom w:val="0"/>
      <w:divBdr>
        <w:top w:val="none" w:sz="0" w:space="0" w:color="auto"/>
        <w:left w:val="none" w:sz="0" w:space="0" w:color="auto"/>
        <w:bottom w:val="none" w:sz="0" w:space="0" w:color="auto"/>
        <w:right w:val="none" w:sz="0" w:space="0" w:color="auto"/>
      </w:divBdr>
    </w:div>
    <w:div w:id="1743596372">
      <w:bodyDiv w:val="1"/>
      <w:marLeft w:val="0"/>
      <w:marRight w:val="0"/>
      <w:marTop w:val="0"/>
      <w:marBottom w:val="0"/>
      <w:divBdr>
        <w:top w:val="none" w:sz="0" w:space="0" w:color="auto"/>
        <w:left w:val="none" w:sz="0" w:space="0" w:color="auto"/>
        <w:bottom w:val="none" w:sz="0" w:space="0" w:color="auto"/>
        <w:right w:val="none" w:sz="0" w:space="0" w:color="auto"/>
      </w:divBdr>
    </w:div>
    <w:div w:id="1836335094">
      <w:bodyDiv w:val="1"/>
      <w:marLeft w:val="0"/>
      <w:marRight w:val="0"/>
      <w:marTop w:val="0"/>
      <w:marBottom w:val="0"/>
      <w:divBdr>
        <w:top w:val="none" w:sz="0" w:space="0" w:color="auto"/>
        <w:left w:val="none" w:sz="0" w:space="0" w:color="auto"/>
        <w:bottom w:val="none" w:sz="0" w:space="0" w:color="auto"/>
        <w:right w:val="none" w:sz="0" w:space="0" w:color="auto"/>
      </w:divBdr>
    </w:div>
    <w:div w:id="1864855807">
      <w:bodyDiv w:val="1"/>
      <w:marLeft w:val="0"/>
      <w:marRight w:val="0"/>
      <w:marTop w:val="0"/>
      <w:marBottom w:val="0"/>
      <w:divBdr>
        <w:top w:val="none" w:sz="0" w:space="0" w:color="auto"/>
        <w:left w:val="none" w:sz="0" w:space="0" w:color="auto"/>
        <w:bottom w:val="none" w:sz="0" w:space="0" w:color="auto"/>
        <w:right w:val="none" w:sz="0" w:space="0" w:color="auto"/>
      </w:divBdr>
    </w:div>
    <w:div w:id="1866602844">
      <w:bodyDiv w:val="1"/>
      <w:marLeft w:val="0"/>
      <w:marRight w:val="0"/>
      <w:marTop w:val="0"/>
      <w:marBottom w:val="0"/>
      <w:divBdr>
        <w:top w:val="none" w:sz="0" w:space="0" w:color="auto"/>
        <w:left w:val="none" w:sz="0" w:space="0" w:color="auto"/>
        <w:bottom w:val="none" w:sz="0" w:space="0" w:color="auto"/>
        <w:right w:val="none" w:sz="0" w:space="0" w:color="auto"/>
      </w:divBdr>
    </w:div>
    <w:div w:id="1902397712">
      <w:bodyDiv w:val="1"/>
      <w:marLeft w:val="0"/>
      <w:marRight w:val="0"/>
      <w:marTop w:val="0"/>
      <w:marBottom w:val="0"/>
      <w:divBdr>
        <w:top w:val="none" w:sz="0" w:space="0" w:color="auto"/>
        <w:left w:val="none" w:sz="0" w:space="0" w:color="auto"/>
        <w:bottom w:val="none" w:sz="0" w:space="0" w:color="auto"/>
        <w:right w:val="none" w:sz="0" w:space="0" w:color="auto"/>
      </w:divBdr>
    </w:div>
    <w:div w:id="1918396271">
      <w:bodyDiv w:val="1"/>
      <w:marLeft w:val="0"/>
      <w:marRight w:val="0"/>
      <w:marTop w:val="0"/>
      <w:marBottom w:val="0"/>
      <w:divBdr>
        <w:top w:val="none" w:sz="0" w:space="0" w:color="auto"/>
        <w:left w:val="none" w:sz="0" w:space="0" w:color="auto"/>
        <w:bottom w:val="none" w:sz="0" w:space="0" w:color="auto"/>
        <w:right w:val="none" w:sz="0" w:space="0" w:color="auto"/>
      </w:divBdr>
    </w:div>
    <w:div w:id="1919361300">
      <w:bodyDiv w:val="1"/>
      <w:marLeft w:val="0"/>
      <w:marRight w:val="0"/>
      <w:marTop w:val="0"/>
      <w:marBottom w:val="0"/>
      <w:divBdr>
        <w:top w:val="none" w:sz="0" w:space="0" w:color="auto"/>
        <w:left w:val="none" w:sz="0" w:space="0" w:color="auto"/>
        <w:bottom w:val="none" w:sz="0" w:space="0" w:color="auto"/>
        <w:right w:val="none" w:sz="0" w:space="0" w:color="auto"/>
      </w:divBdr>
    </w:div>
    <w:div w:id="1924607891">
      <w:bodyDiv w:val="1"/>
      <w:marLeft w:val="0"/>
      <w:marRight w:val="0"/>
      <w:marTop w:val="0"/>
      <w:marBottom w:val="0"/>
      <w:divBdr>
        <w:top w:val="none" w:sz="0" w:space="0" w:color="auto"/>
        <w:left w:val="none" w:sz="0" w:space="0" w:color="auto"/>
        <w:bottom w:val="none" w:sz="0" w:space="0" w:color="auto"/>
        <w:right w:val="none" w:sz="0" w:space="0" w:color="auto"/>
      </w:divBdr>
    </w:div>
    <w:div w:id="1980333896">
      <w:bodyDiv w:val="1"/>
      <w:marLeft w:val="0"/>
      <w:marRight w:val="0"/>
      <w:marTop w:val="0"/>
      <w:marBottom w:val="0"/>
      <w:divBdr>
        <w:top w:val="none" w:sz="0" w:space="0" w:color="auto"/>
        <w:left w:val="none" w:sz="0" w:space="0" w:color="auto"/>
        <w:bottom w:val="none" w:sz="0" w:space="0" w:color="auto"/>
        <w:right w:val="none" w:sz="0" w:space="0" w:color="auto"/>
      </w:divBdr>
    </w:div>
    <w:div w:id="1997682059">
      <w:bodyDiv w:val="1"/>
      <w:marLeft w:val="0"/>
      <w:marRight w:val="0"/>
      <w:marTop w:val="0"/>
      <w:marBottom w:val="0"/>
      <w:divBdr>
        <w:top w:val="none" w:sz="0" w:space="0" w:color="auto"/>
        <w:left w:val="none" w:sz="0" w:space="0" w:color="auto"/>
        <w:bottom w:val="none" w:sz="0" w:space="0" w:color="auto"/>
        <w:right w:val="none" w:sz="0" w:space="0" w:color="auto"/>
      </w:divBdr>
    </w:div>
    <w:div w:id="2026202605">
      <w:bodyDiv w:val="1"/>
      <w:marLeft w:val="0"/>
      <w:marRight w:val="0"/>
      <w:marTop w:val="0"/>
      <w:marBottom w:val="0"/>
      <w:divBdr>
        <w:top w:val="none" w:sz="0" w:space="0" w:color="auto"/>
        <w:left w:val="none" w:sz="0" w:space="0" w:color="auto"/>
        <w:bottom w:val="none" w:sz="0" w:space="0" w:color="auto"/>
        <w:right w:val="none" w:sz="0" w:space="0" w:color="auto"/>
      </w:divBdr>
    </w:div>
    <w:div w:id="2054503716">
      <w:bodyDiv w:val="1"/>
      <w:marLeft w:val="0"/>
      <w:marRight w:val="0"/>
      <w:marTop w:val="0"/>
      <w:marBottom w:val="0"/>
      <w:divBdr>
        <w:top w:val="none" w:sz="0" w:space="0" w:color="auto"/>
        <w:left w:val="none" w:sz="0" w:space="0" w:color="auto"/>
        <w:bottom w:val="none" w:sz="0" w:space="0" w:color="auto"/>
        <w:right w:val="none" w:sz="0" w:space="0" w:color="auto"/>
      </w:divBdr>
    </w:div>
    <w:div w:id="2104257421">
      <w:bodyDiv w:val="1"/>
      <w:marLeft w:val="0"/>
      <w:marRight w:val="0"/>
      <w:marTop w:val="0"/>
      <w:marBottom w:val="0"/>
      <w:divBdr>
        <w:top w:val="none" w:sz="0" w:space="0" w:color="auto"/>
        <w:left w:val="none" w:sz="0" w:space="0" w:color="auto"/>
        <w:bottom w:val="none" w:sz="0" w:space="0" w:color="auto"/>
        <w:right w:val="none" w:sz="0" w:space="0" w:color="auto"/>
      </w:divBdr>
    </w:div>
    <w:div w:id="210980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hyperlink" Target="https://sgul.unitu.co.uk/feedback/sg-21106" TargetMode="External"/><Relationship Id="rId18" Type="http://schemas.openxmlformats.org/officeDocument/2006/relationships/hyperlink" Target="https://sgul.unitu.co.uk/feedback/sg-2565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3.xml"/><Relationship Id="rId12" Type="http://schemas.openxmlformats.org/officeDocument/2006/relationships/hyperlink" Target="https://sgul.unitu.co.uk/feedback/sg-21769" TargetMode="External"/><Relationship Id="rId17" Type="http://schemas.openxmlformats.org/officeDocument/2006/relationships/hyperlink" Target="https://sgul.unitu.co.uk/feedback/sg-25561" TargetMode="External"/><Relationship Id="rId2" Type="http://schemas.openxmlformats.org/officeDocument/2006/relationships/styles" Target="styles.xml"/><Relationship Id="rId16" Type="http://schemas.openxmlformats.org/officeDocument/2006/relationships/hyperlink" Target="https://sgul.unitu.co.uk/feedback/sg-23479" TargetMode="External"/><Relationship Id="rId20" Type="http://schemas.openxmlformats.org/officeDocument/2006/relationships/hyperlink" Target="https://sgul365-my.sharepoint.com/:w:/g/personal/jsadding_sgul_ac_uk/EZeh7oT1DS1IviVMJ8R96WsBTmV08nwPAVYE-VXRu9PIQQ?e=Tdeqig" TargetMode="Externa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sgul.unitu.co.uk/feedback/sg-23060" TargetMode="External"/><Relationship Id="rId5" Type="http://schemas.openxmlformats.org/officeDocument/2006/relationships/chart" Target="charts/chart1.xml"/><Relationship Id="rId15" Type="http://schemas.openxmlformats.org/officeDocument/2006/relationships/hyperlink" Target="https://sgul.unitu.co.uk/feedback/sg-21235" TargetMode="External"/><Relationship Id="rId10" Type="http://schemas.openxmlformats.org/officeDocument/2006/relationships/hyperlink" Target="https://sgul.unitu.co.uk/feedback/sg-23982" TargetMode="External"/><Relationship Id="rId19" Type="http://schemas.openxmlformats.org/officeDocument/2006/relationships/hyperlink" Target="https://sgul365-my.sharepoint.com/:w:/g/personal/jsadding_sgul_ac_uk/EYl_GNV1VwBEi0OC4CL9kX8BiwKR1XrVaIHdHbjgzew8WQ?e=YCfNR5" TargetMode="Externa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hyperlink" Target="https://sgul.unitu.co.uk/feedback/sg-19120"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Posts</a:t>
            </a:r>
            <a:r>
              <a:rPr lang="en-GB" baseline="0"/>
              <a:t> by board</a:t>
            </a:r>
            <a:endParaRPr lang="en-GB"/>
          </a:p>
        </c:rich>
      </c:tx>
      <c:layout>
        <c:manualLayout>
          <c:xMode val="edge"/>
          <c:yMode val="edge"/>
          <c:x val="0.39448490813648296"/>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Total posts</c:v>
                </c:pt>
              </c:strCache>
            </c:strRef>
          </c:tx>
          <c:spPr>
            <a:ln w="28575" cap="rnd">
              <a:solidFill>
                <a:schemeClr val="accent1"/>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Sheet1!$B$2:$B$13</c:f>
              <c:numCache>
                <c:formatCode>General</c:formatCode>
                <c:ptCount val="12"/>
                <c:pt idx="0">
                  <c:v>19</c:v>
                </c:pt>
                <c:pt idx="1">
                  <c:v>72</c:v>
                </c:pt>
                <c:pt idx="2">
                  <c:v>147</c:v>
                </c:pt>
                <c:pt idx="3">
                  <c:v>211</c:v>
                </c:pt>
                <c:pt idx="4">
                  <c:v>302</c:v>
                </c:pt>
                <c:pt idx="5">
                  <c:v>373</c:v>
                </c:pt>
                <c:pt idx="6">
                  <c:v>437</c:v>
                </c:pt>
                <c:pt idx="7">
                  <c:v>481</c:v>
                </c:pt>
                <c:pt idx="8">
                  <c:v>543</c:v>
                </c:pt>
                <c:pt idx="9">
                  <c:v>586</c:v>
                </c:pt>
                <c:pt idx="10">
                  <c:v>598</c:v>
                </c:pt>
                <c:pt idx="11">
                  <c:v>619</c:v>
                </c:pt>
              </c:numCache>
            </c:numRef>
          </c:val>
          <c:smooth val="0"/>
          <c:extLst>
            <c:ext xmlns:c16="http://schemas.microsoft.com/office/drawing/2014/chart" uri="{C3380CC4-5D6E-409C-BE32-E72D297353CC}">
              <c16:uniqueId val="{00000000-842E-1C40-95DC-173C999FC60B}"/>
            </c:ext>
          </c:extLst>
        </c:ser>
        <c:ser>
          <c:idx val="1"/>
          <c:order val="1"/>
          <c:tx>
            <c:strRef>
              <c:f>Sheet1!$C$1</c:f>
              <c:strCache>
                <c:ptCount val="1"/>
                <c:pt idx="0">
                  <c:v>Allied Health</c:v>
                </c:pt>
              </c:strCache>
            </c:strRef>
          </c:tx>
          <c:spPr>
            <a:ln w="28575" cap="rnd">
              <a:solidFill>
                <a:schemeClr val="accent2"/>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Sheet1!$C$2:$C$13</c:f>
              <c:numCache>
                <c:formatCode>General</c:formatCode>
                <c:ptCount val="12"/>
                <c:pt idx="0">
                  <c:v>1</c:v>
                </c:pt>
                <c:pt idx="1">
                  <c:v>6</c:v>
                </c:pt>
                <c:pt idx="2">
                  <c:v>20</c:v>
                </c:pt>
                <c:pt idx="3">
                  <c:v>30</c:v>
                </c:pt>
                <c:pt idx="4">
                  <c:v>56</c:v>
                </c:pt>
                <c:pt idx="5">
                  <c:v>65</c:v>
                </c:pt>
                <c:pt idx="6">
                  <c:v>70</c:v>
                </c:pt>
                <c:pt idx="7">
                  <c:v>76</c:v>
                </c:pt>
                <c:pt idx="8">
                  <c:v>80</c:v>
                </c:pt>
                <c:pt idx="9">
                  <c:v>81</c:v>
                </c:pt>
                <c:pt idx="10">
                  <c:v>83</c:v>
                </c:pt>
                <c:pt idx="11">
                  <c:v>85</c:v>
                </c:pt>
              </c:numCache>
            </c:numRef>
          </c:val>
          <c:smooth val="0"/>
          <c:extLst>
            <c:ext xmlns:c16="http://schemas.microsoft.com/office/drawing/2014/chart" uri="{C3380CC4-5D6E-409C-BE32-E72D297353CC}">
              <c16:uniqueId val="{00000001-842E-1C40-95DC-173C999FC60B}"/>
            </c:ext>
          </c:extLst>
        </c:ser>
        <c:ser>
          <c:idx val="2"/>
          <c:order val="2"/>
          <c:tx>
            <c:strRef>
              <c:f>Sheet1!$D$1</c:f>
              <c:strCache>
                <c:ptCount val="1"/>
                <c:pt idx="0">
                  <c:v>Medicine</c:v>
                </c:pt>
              </c:strCache>
            </c:strRef>
          </c:tx>
          <c:spPr>
            <a:ln w="28575" cap="rnd">
              <a:solidFill>
                <a:schemeClr val="accent3"/>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Sheet1!$D$2:$D$13</c:f>
              <c:numCache>
                <c:formatCode>General</c:formatCode>
                <c:ptCount val="12"/>
                <c:pt idx="0">
                  <c:v>8</c:v>
                </c:pt>
                <c:pt idx="1">
                  <c:v>47</c:v>
                </c:pt>
                <c:pt idx="2">
                  <c:v>84</c:v>
                </c:pt>
                <c:pt idx="3">
                  <c:v>120</c:v>
                </c:pt>
                <c:pt idx="4">
                  <c:v>167</c:v>
                </c:pt>
                <c:pt idx="5">
                  <c:v>197</c:v>
                </c:pt>
                <c:pt idx="6">
                  <c:v>233</c:v>
                </c:pt>
                <c:pt idx="7">
                  <c:v>256</c:v>
                </c:pt>
                <c:pt idx="8">
                  <c:v>293</c:v>
                </c:pt>
                <c:pt idx="9">
                  <c:v>322</c:v>
                </c:pt>
                <c:pt idx="10">
                  <c:v>335</c:v>
                </c:pt>
                <c:pt idx="11">
                  <c:v>351</c:v>
                </c:pt>
              </c:numCache>
            </c:numRef>
          </c:val>
          <c:smooth val="0"/>
          <c:extLst>
            <c:ext xmlns:c16="http://schemas.microsoft.com/office/drawing/2014/chart" uri="{C3380CC4-5D6E-409C-BE32-E72D297353CC}">
              <c16:uniqueId val="{00000002-842E-1C40-95DC-173C999FC60B}"/>
            </c:ext>
          </c:extLst>
        </c:ser>
        <c:ser>
          <c:idx val="3"/>
          <c:order val="3"/>
          <c:tx>
            <c:strRef>
              <c:f>Sheet1!$E$1</c:f>
              <c:strCache>
                <c:ptCount val="1"/>
                <c:pt idx="0">
                  <c:v>UG Science</c:v>
                </c:pt>
              </c:strCache>
            </c:strRef>
          </c:tx>
          <c:spPr>
            <a:ln w="28575" cap="rnd">
              <a:solidFill>
                <a:schemeClr val="accent4"/>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Sheet1!$E$2:$E$13</c:f>
              <c:numCache>
                <c:formatCode>General</c:formatCode>
                <c:ptCount val="12"/>
                <c:pt idx="0">
                  <c:v>4</c:v>
                </c:pt>
                <c:pt idx="1">
                  <c:v>6</c:v>
                </c:pt>
                <c:pt idx="2">
                  <c:v>14</c:v>
                </c:pt>
                <c:pt idx="3">
                  <c:v>23</c:v>
                </c:pt>
                <c:pt idx="4">
                  <c:v>33</c:v>
                </c:pt>
                <c:pt idx="5">
                  <c:v>49</c:v>
                </c:pt>
                <c:pt idx="6">
                  <c:v>61</c:v>
                </c:pt>
                <c:pt idx="7">
                  <c:v>69</c:v>
                </c:pt>
                <c:pt idx="8">
                  <c:v>75</c:v>
                </c:pt>
                <c:pt idx="9">
                  <c:v>79</c:v>
                </c:pt>
                <c:pt idx="10">
                  <c:v>79</c:v>
                </c:pt>
                <c:pt idx="11">
                  <c:v>81</c:v>
                </c:pt>
              </c:numCache>
            </c:numRef>
          </c:val>
          <c:smooth val="0"/>
          <c:extLst>
            <c:ext xmlns:c16="http://schemas.microsoft.com/office/drawing/2014/chart" uri="{C3380CC4-5D6E-409C-BE32-E72D297353CC}">
              <c16:uniqueId val="{00000003-842E-1C40-95DC-173C999FC60B}"/>
            </c:ext>
          </c:extLst>
        </c:ser>
        <c:ser>
          <c:idx val="4"/>
          <c:order val="4"/>
          <c:tx>
            <c:strRef>
              <c:f>Sheet1!$F$1</c:f>
              <c:strCache>
                <c:ptCount val="1"/>
                <c:pt idx="0">
                  <c:v>Postgraduate </c:v>
                </c:pt>
              </c:strCache>
            </c:strRef>
          </c:tx>
          <c:spPr>
            <a:ln w="28575" cap="rnd">
              <a:solidFill>
                <a:schemeClr val="accent5"/>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Sheet1!$F$2:$F$13</c:f>
              <c:numCache>
                <c:formatCode>General</c:formatCode>
                <c:ptCount val="12"/>
                <c:pt idx="0">
                  <c:v>2</c:v>
                </c:pt>
                <c:pt idx="1">
                  <c:v>3</c:v>
                </c:pt>
                <c:pt idx="2">
                  <c:v>3</c:v>
                </c:pt>
                <c:pt idx="3">
                  <c:v>5</c:v>
                </c:pt>
                <c:pt idx="4">
                  <c:v>5</c:v>
                </c:pt>
                <c:pt idx="5">
                  <c:v>7</c:v>
                </c:pt>
                <c:pt idx="6">
                  <c:v>8</c:v>
                </c:pt>
                <c:pt idx="7">
                  <c:v>10</c:v>
                </c:pt>
                <c:pt idx="8">
                  <c:v>15</c:v>
                </c:pt>
                <c:pt idx="9">
                  <c:v>15</c:v>
                </c:pt>
                <c:pt idx="10">
                  <c:v>15</c:v>
                </c:pt>
                <c:pt idx="11">
                  <c:v>15</c:v>
                </c:pt>
              </c:numCache>
            </c:numRef>
          </c:val>
          <c:smooth val="0"/>
          <c:extLst>
            <c:ext xmlns:c16="http://schemas.microsoft.com/office/drawing/2014/chart" uri="{C3380CC4-5D6E-409C-BE32-E72D297353CC}">
              <c16:uniqueId val="{00000004-842E-1C40-95DC-173C999FC60B}"/>
            </c:ext>
          </c:extLst>
        </c:ser>
        <c:ser>
          <c:idx val="5"/>
          <c:order val="5"/>
          <c:tx>
            <c:strRef>
              <c:f>Sheet1!$G$1</c:f>
              <c:strCache>
                <c:ptCount val="1"/>
                <c:pt idx="0">
                  <c:v>University Board</c:v>
                </c:pt>
              </c:strCache>
            </c:strRef>
          </c:tx>
          <c:spPr>
            <a:ln w="28575" cap="rnd">
              <a:solidFill>
                <a:schemeClr val="accent6"/>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Sheet1!$G$2:$G$13</c:f>
              <c:numCache>
                <c:formatCode>General</c:formatCode>
                <c:ptCount val="12"/>
                <c:pt idx="0">
                  <c:v>4</c:v>
                </c:pt>
                <c:pt idx="1">
                  <c:v>10</c:v>
                </c:pt>
                <c:pt idx="2">
                  <c:v>26</c:v>
                </c:pt>
                <c:pt idx="3">
                  <c:v>33</c:v>
                </c:pt>
                <c:pt idx="4">
                  <c:v>41</c:v>
                </c:pt>
                <c:pt idx="5">
                  <c:v>55</c:v>
                </c:pt>
                <c:pt idx="6">
                  <c:v>65</c:v>
                </c:pt>
                <c:pt idx="7">
                  <c:v>70</c:v>
                </c:pt>
                <c:pt idx="8">
                  <c:v>80</c:v>
                </c:pt>
                <c:pt idx="9">
                  <c:v>84</c:v>
                </c:pt>
                <c:pt idx="10">
                  <c:v>86</c:v>
                </c:pt>
                <c:pt idx="11">
                  <c:v>87</c:v>
                </c:pt>
              </c:numCache>
            </c:numRef>
          </c:val>
          <c:smooth val="0"/>
          <c:extLst>
            <c:ext xmlns:c16="http://schemas.microsoft.com/office/drawing/2014/chart" uri="{C3380CC4-5D6E-409C-BE32-E72D297353CC}">
              <c16:uniqueId val="{00000005-842E-1C40-95DC-173C999FC60B}"/>
            </c:ext>
          </c:extLst>
        </c:ser>
        <c:dLbls>
          <c:showLegendKey val="0"/>
          <c:showVal val="0"/>
          <c:showCatName val="0"/>
          <c:showSerName val="0"/>
          <c:showPercent val="0"/>
          <c:showBubbleSize val="0"/>
        </c:dLbls>
        <c:smooth val="0"/>
        <c:axId val="753053776"/>
        <c:axId val="753062632"/>
      </c:lineChart>
      <c:catAx>
        <c:axId val="75305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3062632"/>
        <c:crosses val="autoZero"/>
        <c:auto val="1"/>
        <c:lblAlgn val="ctr"/>
        <c:lblOffset val="100"/>
        <c:noMultiLvlLbl val="0"/>
      </c:catAx>
      <c:valAx>
        <c:axId val="753062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3053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Total views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Total </c:v>
                </c:pt>
              </c:strCache>
            </c:strRef>
          </c:tx>
          <c:spPr>
            <a:ln w="28575" cap="rnd">
              <a:solidFill>
                <a:schemeClr val="accent1"/>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Sheet1!$B$2:$B$13</c:f>
              <c:numCache>
                <c:formatCode>General</c:formatCode>
                <c:ptCount val="12"/>
                <c:pt idx="0">
                  <c:v>1404</c:v>
                </c:pt>
                <c:pt idx="1">
                  <c:v>7235</c:v>
                </c:pt>
                <c:pt idx="2">
                  <c:v>15684</c:v>
                </c:pt>
                <c:pt idx="3">
                  <c:v>22572</c:v>
                </c:pt>
                <c:pt idx="4">
                  <c:v>34499</c:v>
                </c:pt>
                <c:pt idx="5">
                  <c:v>41052</c:v>
                </c:pt>
                <c:pt idx="6">
                  <c:v>49823</c:v>
                </c:pt>
                <c:pt idx="7">
                  <c:v>56172</c:v>
                </c:pt>
                <c:pt idx="8">
                  <c:v>63918</c:v>
                </c:pt>
                <c:pt idx="9">
                  <c:v>70308</c:v>
                </c:pt>
                <c:pt idx="10">
                  <c:v>73519</c:v>
                </c:pt>
                <c:pt idx="11">
                  <c:v>76906</c:v>
                </c:pt>
              </c:numCache>
            </c:numRef>
          </c:val>
          <c:smooth val="0"/>
          <c:extLst>
            <c:ext xmlns:c16="http://schemas.microsoft.com/office/drawing/2014/chart" uri="{C3380CC4-5D6E-409C-BE32-E72D297353CC}">
              <c16:uniqueId val="{00000000-E303-B142-B53D-235BC84C02D3}"/>
            </c:ext>
          </c:extLst>
        </c:ser>
        <c:ser>
          <c:idx val="1"/>
          <c:order val="1"/>
          <c:tx>
            <c:strRef>
              <c:f>Sheet1!$C$1</c:f>
              <c:strCache>
                <c:ptCount val="1"/>
                <c:pt idx="0">
                  <c:v>Allied Health</c:v>
                </c:pt>
              </c:strCache>
            </c:strRef>
          </c:tx>
          <c:spPr>
            <a:ln w="28575" cap="rnd">
              <a:solidFill>
                <a:schemeClr val="accent2"/>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Sheet1!$C$2:$C$13</c:f>
              <c:numCache>
                <c:formatCode>General</c:formatCode>
                <c:ptCount val="12"/>
                <c:pt idx="0">
                  <c:v>32</c:v>
                </c:pt>
                <c:pt idx="1">
                  <c:v>415</c:v>
                </c:pt>
                <c:pt idx="2">
                  <c:v>1598</c:v>
                </c:pt>
                <c:pt idx="3">
                  <c:v>2484</c:v>
                </c:pt>
                <c:pt idx="4">
                  <c:v>3855</c:v>
                </c:pt>
                <c:pt idx="5">
                  <c:v>4432</c:v>
                </c:pt>
                <c:pt idx="6">
                  <c:v>5905</c:v>
                </c:pt>
                <c:pt idx="7">
                  <c:v>6361</c:v>
                </c:pt>
                <c:pt idx="8">
                  <c:v>5839</c:v>
                </c:pt>
                <c:pt idx="9">
                  <c:v>5867</c:v>
                </c:pt>
                <c:pt idx="10">
                  <c:v>5916</c:v>
                </c:pt>
                <c:pt idx="11">
                  <c:v>6187</c:v>
                </c:pt>
              </c:numCache>
            </c:numRef>
          </c:val>
          <c:smooth val="0"/>
          <c:extLst>
            <c:ext xmlns:c16="http://schemas.microsoft.com/office/drawing/2014/chart" uri="{C3380CC4-5D6E-409C-BE32-E72D297353CC}">
              <c16:uniqueId val="{00000001-E303-B142-B53D-235BC84C02D3}"/>
            </c:ext>
          </c:extLst>
        </c:ser>
        <c:ser>
          <c:idx val="2"/>
          <c:order val="2"/>
          <c:tx>
            <c:strRef>
              <c:f>Sheet1!$D$1</c:f>
              <c:strCache>
                <c:ptCount val="1"/>
                <c:pt idx="0">
                  <c:v>Medicine </c:v>
                </c:pt>
              </c:strCache>
            </c:strRef>
          </c:tx>
          <c:spPr>
            <a:ln w="28575" cap="rnd">
              <a:solidFill>
                <a:schemeClr val="accent3"/>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Sheet1!$D$2:$D$13</c:f>
              <c:numCache>
                <c:formatCode>General</c:formatCode>
                <c:ptCount val="12"/>
                <c:pt idx="0">
                  <c:v>649</c:v>
                </c:pt>
                <c:pt idx="1">
                  <c:v>4837</c:v>
                </c:pt>
                <c:pt idx="2">
                  <c:v>9618</c:v>
                </c:pt>
                <c:pt idx="3">
                  <c:v>13868</c:v>
                </c:pt>
                <c:pt idx="4">
                  <c:v>21893</c:v>
                </c:pt>
                <c:pt idx="5">
                  <c:v>25521</c:v>
                </c:pt>
                <c:pt idx="6">
                  <c:v>31144</c:v>
                </c:pt>
                <c:pt idx="7">
                  <c:v>35341</c:v>
                </c:pt>
                <c:pt idx="8">
                  <c:v>41413</c:v>
                </c:pt>
                <c:pt idx="9">
                  <c:v>46751</c:v>
                </c:pt>
                <c:pt idx="10">
                  <c:v>49474</c:v>
                </c:pt>
                <c:pt idx="11">
                  <c:v>51847</c:v>
                </c:pt>
              </c:numCache>
            </c:numRef>
          </c:val>
          <c:smooth val="0"/>
          <c:extLst>
            <c:ext xmlns:c16="http://schemas.microsoft.com/office/drawing/2014/chart" uri="{C3380CC4-5D6E-409C-BE32-E72D297353CC}">
              <c16:uniqueId val="{00000002-E303-B142-B53D-235BC84C02D3}"/>
            </c:ext>
          </c:extLst>
        </c:ser>
        <c:ser>
          <c:idx val="3"/>
          <c:order val="3"/>
          <c:tx>
            <c:strRef>
              <c:f>Sheet1!$E$1</c:f>
              <c:strCache>
                <c:ptCount val="1"/>
                <c:pt idx="0">
                  <c:v>UG Science</c:v>
                </c:pt>
              </c:strCache>
            </c:strRef>
          </c:tx>
          <c:spPr>
            <a:ln w="28575" cap="rnd">
              <a:solidFill>
                <a:schemeClr val="accent4"/>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Sheet1!$E$2:$E$13</c:f>
              <c:numCache>
                <c:formatCode>General</c:formatCode>
                <c:ptCount val="12"/>
                <c:pt idx="0">
                  <c:v>329</c:v>
                </c:pt>
                <c:pt idx="1">
                  <c:v>856</c:v>
                </c:pt>
                <c:pt idx="2">
                  <c:v>1878</c:v>
                </c:pt>
                <c:pt idx="3">
                  <c:v>2917</c:v>
                </c:pt>
                <c:pt idx="4">
                  <c:v>4455</c:v>
                </c:pt>
                <c:pt idx="5">
                  <c:v>6075</c:v>
                </c:pt>
                <c:pt idx="6">
                  <c:v>7614</c:v>
                </c:pt>
                <c:pt idx="7">
                  <c:v>8609</c:v>
                </c:pt>
                <c:pt idx="8">
                  <c:v>9262</c:v>
                </c:pt>
                <c:pt idx="9">
                  <c:v>9771</c:v>
                </c:pt>
                <c:pt idx="10">
                  <c:v>9882</c:v>
                </c:pt>
                <c:pt idx="11">
                  <c:v>10068</c:v>
                </c:pt>
              </c:numCache>
            </c:numRef>
          </c:val>
          <c:smooth val="0"/>
          <c:extLst>
            <c:ext xmlns:c16="http://schemas.microsoft.com/office/drawing/2014/chart" uri="{C3380CC4-5D6E-409C-BE32-E72D297353CC}">
              <c16:uniqueId val="{00000003-E303-B142-B53D-235BC84C02D3}"/>
            </c:ext>
          </c:extLst>
        </c:ser>
        <c:ser>
          <c:idx val="4"/>
          <c:order val="4"/>
          <c:tx>
            <c:strRef>
              <c:f>Sheet1!$F$1</c:f>
              <c:strCache>
                <c:ptCount val="1"/>
                <c:pt idx="0">
                  <c:v>Postgraduate</c:v>
                </c:pt>
              </c:strCache>
            </c:strRef>
          </c:tx>
          <c:spPr>
            <a:ln w="28575" cap="rnd">
              <a:solidFill>
                <a:schemeClr val="accent5"/>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Sheet1!$F$2:$F$13</c:f>
              <c:numCache>
                <c:formatCode>General</c:formatCode>
                <c:ptCount val="12"/>
                <c:pt idx="0">
                  <c:v>19</c:v>
                </c:pt>
                <c:pt idx="1">
                  <c:v>54</c:v>
                </c:pt>
                <c:pt idx="2">
                  <c:v>55</c:v>
                </c:pt>
                <c:pt idx="3">
                  <c:v>70</c:v>
                </c:pt>
                <c:pt idx="4">
                  <c:v>71</c:v>
                </c:pt>
                <c:pt idx="5">
                  <c:v>76</c:v>
                </c:pt>
                <c:pt idx="6">
                  <c:v>86</c:v>
                </c:pt>
                <c:pt idx="7">
                  <c:v>95</c:v>
                </c:pt>
                <c:pt idx="8">
                  <c:v>111</c:v>
                </c:pt>
                <c:pt idx="9">
                  <c:v>114</c:v>
                </c:pt>
                <c:pt idx="10">
                  <c:v>114</c:v>
                </c:pt>
                <c:pt idx="11">
                  <c:v>114</c:v>
                </c:pt>
              </c:numCache>
            </c:numRef>
          </c:val>
          <c:smooth val="0"/>
          <c:extLst>
            <c:ext xmlns:c16="http://schemas.microsoft.com/office/drawing/2014/chart" uri="{C3380CC4-5D6E-409C-BE32-E72D297353CC}">
              <c16:uniqueId val="{00000004-E303-B142-B53D-235BC84C02D3}"/>
            </c:ext>
          </c:extLst>
        </c:ser>
        <c:ser>
          <c:idx val="5"/>
          <c:order val="5"/>
          <c:tx>
            <c:strRef>
              <c:f>Sheet1!$G$1</c:f>
              <c:strCache>
                <c:ptCount val="1"/>
                <c:pt idx="0">
                  <c:v>University board</c:v>
                </c:pt>
              </c:strCache>
            </c:strRef>
          </c:tx>
          <c:spPr>
            <a:ln w="28575" cap="rnd">
              <a:solidFill>
                <a:schemeClr val="accent6"/>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Sheet1!$G$2:$G$13</c:f>
              <c:numCache>
                <c:formatCode>General</c:formatCode>
                <c:ptCount val="12"/>
                <c:pt idx="0">
                  <c:v>329</c:v>
                </c:pt>
                <c:pt idx="1">
                  <c:v>1073</c:v>
                </c:pt>
                <c:pt idx="2">
                  <c:v>2535</c:v>
                </c:pt>
                <c:pt idx="3">
                  <c:v>3233</c:v>
                </c:pt>
                <c:pt idx="4">
                  <c:v>4225</c:v>
                </c:pt>
                <c:pt idx="5">
                  <c:v>4948</c:v>
                </c:pt>
                <c:pt idx="6">
                  <c:v>6105</c:v>
                </c:pt>
                <c:pt idx="7">
                  <c:v>6559</c:v>
                </c:pt>
                <c:pt idx="8">
                  <c:v>7293</c:v>
                </c:pt>
                <c:pt idx="9">
                  <c:v>7805</c:v>
                </c:pt>
                <c:pt idx="10">
                  <c:v>8133</c:v>
                </c:pt>
                <c:pt idx="11">
                  <c:v>8590</c:v>
                </c:pt>
              </c:numCache>
            </c:numRef>
          </c:val>
          <c:smooth val="0"/>
          <c:extLst>
            <c:ext xmlns:c16="http://schemas.microsoft.com/office/drawing/2014/chart" uri="{C3380CC4-5D6E-409C-BE32-E72D297353CC}">
              <c16:uniqueId val="{00000005-E303-B142-B53D-235BC84C02D3}"/>
            </c:ext>
          </c:extLst>
        </c:ser>
        <c:dLbls>
          <c:showLegendKey val="0"/>
          <c:showVal val="0"/>
          <c:showCatName val="0"/>
          <c:showSerName val="0"/>
          <c:showPercent val="0"/>
          <c:showBubbleSize val="0"/>
        </c:dLbls>
        <c:smooth val="0"/>
        <c:axId val="631093064"/>
        <c:axId val="631093392"/>
      </c:lineChart>
      <c:catAx>
        <c:axId val="631093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093392"/>
        <c:crosses val="autoZero"/>
        <c:auto val="1"/>
        <c:lblAlgn val="ctr"/>
        <c:lblOffset val="100"/>
        <c:noMultiLvlLbl val="0"/>
      </c:catAx>
      <c:valAx>
        <c:axId val="631093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093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Post by feedback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Issue</c:v>
                </c:pt>
              </c:strCache>
            </c:strRef>
          </c:tx>
          <c:spPr>
            <a:ln w="28575" cap="rnd">
              <a:solidFill>
                <a:srgbClr val="FF0000"/>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 </c:v>
                </c:pt>
                <c:pt idx="6">
                  <c:v>Week Twenty-Four</c:v>
                </c:pt>
                <c:pt idx="7">
                  <c:v>Week Twenty-Eight</c:v>
                </c:pt>
                <c:pt idx="8">
                  <c:v>Week Thirty-Two</c:v>
                </c:pt>
                <c:pt idx="9">
                  <c:v>Week Thirty-Six</c:v>
                </c:pt>
                <c:pt idx="10">
                  <c:v>Week Fourty</c:v>
                </c:pt>
                <c:pt idx="11">
                  <c:v>Week Fourty-Five</c:v>
                </c:pt>
              </c:strCache>
            </c:strRef>
          </c:cat>
          <c:val>
            <c:numRef>
              <c:f>Sheet1!$B$2:$B$13</c:f>
              <c:numCache>
                <c:formatCode>General</c:formatCode>
                <c:ptCount val="12"/>
                <c:pt idx="0">
                  <c:v>7</c:v>
                </c:pt>
                <c:pt idx="1">
                  <c:v>33</c:v>
                </c:pt>
                <c:pt idx="2">
                  <c:v>63</c:v>
                </c:pt>
                <c:pt idx="3">
                  <c:v>81</c:v>
                </c:pt>
                <c:pt idx="4">
                  <c:v>132</c:v>
                </c:pt>
                <c:pt idx="5">
                  <c:v>146</c:v>
                </c:pt>
                <c:pt idx="6">
                  <c:v>164</c:v>
                </c:pt>
                <c:pt idx="7">
                  <c:v>175</c:v>
                </c:pt>
                <c:pt idx="8">
                  <c:v>196</c:v>
                </c:pt>
                <c:pt idx="9">
                  <c:v>209</c:v>
                </c:pt>
                <c:pt idx="10">
                  <c:v>216</c:v>
                </c:pt>
                <c:pt idx="11">
                  <c:v>220</c:v>
                </c:pt>
              </c:numCache>
            </c:numRef>
          </c:val>
          <c:smooth val="0"/>
          <c:extLst>
            <c:ext xmlns:c16="http://schemas.microsoft.com/office/drawing/2014/chart" uri="{C3380CC4-5D6E-409C-BE32-E72D297353CC}">
              <c16:uniqueId val="{00000000-71F1-4F49-BAED-C4FF5D0E3C82}"/>
            </c:ext>
          </c:extLst>
        </c:ser>
        <c:ser>
          <c:idx val="1"/>
          <c:order val="1"/>
          <c:tx>
            <c:strRef>
              <c:f>Sheet1!$C$1</c:f>
              <c:strCache>
                <c:ptCount val="1"/>
                <c:pt idx="0">
                  <c:v>Question</c:v>
                </c:pt>
              </c:strCache>
            </c:strRef>
          </c:tx>
          <c:spPr>
            <a:ln w="28575" cap="rnd">
              <a:solidFill>
                <a:schemeClr val="accent1"/>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 </c:v>
                </c:pt>
                <c:pt idx="6">
                  <c:v>Week Twenty-Four</c:v>
                </c:pt>
                <c:pt idx="7">
                  <c:v>Week Twenty-Eight</c:v>
                </c:pt>
                <c:pt idx="8">
                  <c:v>Week Thirty-Two</c:v>
                </c:pt>
                <c:pt idx="9">
                  <c:v>Week Thirty-Six</c:v>
                </c:pt>
                <c:pt idx="10">
                  <c:v>Week Fourty</c:v>
                </c:pt>
                <c:pt idx="11">
                  <c:v>Week Fourty-Five</c:v>
                </c:pt>
              </c:strCache>
            </c:strRef>
          </c:cat>
          <c:val>
            <c:numRef>
              <c:f>Sheet1!$C$2:$C$13</c:f>
              <c:numCache>
                <c:formatCode>General</c:formatCode>
                <c:ptCount val="12"/>
                <c:pt idx="0">
                  <c:v>10</c:v>
                </c:pt>
                <c:pt idx="1">
                  <c:v>29</c:v>
                </c:pt>
                <c:pt idx="2">
                  <c:v>56</c:v>
                </c:pt>
                <c:pt idx="3">
                  <c:v>82</c:v>
                </c:pt>
                <c:pt idx="4">
                  <c:v>105</c:v>
                </c:pt>
                <c:pt idx="5">
                  <c:v>121</c:v>
                </c:pt>
                <c:pt idx="6">
                  <c:v>150</c:v>
                </c:pt>
                <c:pt idx="7">
                  <c:v>167</c:v>
                </c:pt>
                <c:pt idx="8">
                  <c:v>183</c:v>
                </c:pt>
                <c:pt idx="9">
                  <c:v>200</c:v>
                </c:pt>
                <c:pt idx="10">
                  <c:v>208</c:v>
                </c:pt>
                <c:pt idx="11">
                  <c:v>221</c:v>
                </c:pt>
              </c:numCache>
            </c:numRef>
          </c:val>
          <c:smooth val="0"/>
          <c:extLst>
            <c:ext xmlns:c16="http://schemas.microsoft.com/office/drawing/2014/chart" uri="{C3380CC4-5D6E-409C-BE32-E72D297353CC}">
              <c16:uniqueId val="{00000001-71F1-4F49-BAED-C4FF5D0E3C82}"/>
            </c:ext>
          </c:extLst>
        </c:ser>
        <c:ser>
          <c:idx val="2"/>
          <c:order val="2"/>
          <c:tx>
            <c:strRef>
              <c:f>Sheet1!$D$1</c:f>
              <c:strCache>
                <c:ptCount val="1"/>
                <c:pt idx="0">
                  <c:v>Idea</c:v>
                </c:pt>
              </c:strCache>
            </c:strRef>
          </c:tx>
          <c:spPr>
            <a:ln w="28575" cap="rnd">
              <a:solidFill>
                <a:srgbClr val="FFC000"/>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 </c:v>
                </c:pt>
                <c:pt idx="6">
                  <c:v>Week Twenty-Four</c:v>
                </c:pt>
                <c:pt idx="7">
                  <c:v>Week Twenty-Eight</c:v>
                </c:pt>
                <c:pt idx="8">
                  <c:v>Week Thirty-Two</c:v>
                </c:pt>
                <c:pt idx="9">
                  <c:v>Week Thirty-Six</c:v>
                </c:pt>
                <c:pt idx="10">
                  <c:v>Week Fourty</c:v>
                </c:pt>
                <c:pt idx="11">
                  <c:v>Week Fourty-Five</c:v>
                </c:pt>
              </c:strCache>
            </c:strRef>
          </c:cat>
          <c:val>
            <c:numRef>
              <c:f>Sheet1!$D$2:$D$13</c:f>
              <c:numCache>
                <c:formatCode>General</c:formatCode>
                <c:ptCount val="12"/>
                <c:pt idx="0">
                  <c:v>0</c:v>
                </c:pt>
                <c:pt idx="1">
                  <c:v>7</c:v>
                </c:pt>
                <c:pt idx="2">
                  <c:v>24</c:v>
                </c:pt>
                <c:pt idx="3">
                  <c:v>41</c:v>
                </c:pt>
                <c:pt idx="4">
                  <c:v>55</c:v>
                </c:pt>
                <c:pt idx="5">
                  <c:v>63</c:v>
                </c:pt>
                <c:pt idx="6">
                  <c:v>82</c:v>
                </c:pt>
                <c:pt idx="7">
                  <c:v>115</c:v>
                </c:pt>
                <c:pt idx="8">
                  <c:v>136</c:v>
                </c:pt>
                <c:pt idx="9">
                  <c:v>145</c:v>
                </c:pt>
                <c:pt idx="10">
                  <c:v>144</c:v>
                </c:pt>
                <c:pt idx="11">
                  <c:v>148</c:v>
                </c:pt>
              </c:numCache>
            </c:numRef>
          </c:val>
          <c:smooth val="0"/>
          <c:extLst>
            <c:ext xmlns:c16="http://schemas.microsoft.com/office/drawing/2014/chart" uri="{C3380CC4-5D6E-409C-BE32-E72D297353CC}">
              <c16:uniqueId val="{00000002-71F1-4F49-BAED-C4FF5D0E3C82}"/>
            </c:ext>
          </c:extLst>
        </c:ser>
        <c:ser>
          <c:idx val="3"/>
          <c:order val="3"/>
          <c:tx>
            <c:strRef>
              <c:f>Sheet1!$E$1</c:f>
              <c:strCache>
                <c:ptCount val="1"/>
                <c:pt idx="0">
                  <c:v>Praise</c:v>
                </c:pt>
              </c:strCache>
            </c:strRef>
          </c:tx>
          <c:spPr>
            <a:ln w="28575" cap="rnd">
              <a:solidFill>
                <a:srgbClr val="92D050"/>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 </c:v>
                </c:pt>
                <c:pt idx="6">
                  <c:v>Week Twenty-Four</c:v>
                </c:pt>
                <c:pt idx="7">
                  <c:v>Week Twenty-Eight</c:v>
                </c:pt>
                <c:pt idx="8">
                  <c:v>Week Thirty-Two</c:v>
                </c:pt>
                <c:pt idx="9">
                  <c:v>Week Thirty-Six</c:v>
                </c:pt>
                <c:pt idx="10">
                  <c:v>Week Fourty</c:v>
                </c:pt>
                <c:pt idx="11">
                  <c:v>Week Fourty-Five</c:v>
                </c:pt>
              </c:strCache>
            </c:strRef>
          </c:cat>
          <c:val>
            <c:numRef>
              <c:f>Sheet1!$E$2:$E$13</c:f>
              <c:numCache>
                <c:formatCode>General</c:formatCode>
                <c:ptCount val="12"/>
                <c:pt idx="0">
                  <c:v>2</c:v>
                </c:pt>
                <c:pt idx="1">
                  <c:v>3</c:v>
                </c:pt>
                <c:pt idx="2">
                  <c:v>4</c:v>
                </c:pt>
                <c:pt idx="3">
                  <c:v>7</c:v>
                </c:pt>
                <c:pt idx="4">
                  <c:v>10</c:v>
                </c:pt>
                <c:pt idx="5">
                  <c:v>16</c:v>
                </c:pt>
                <c:pt idx="6">
                  <c:v>21</c:v>
                </c:pt>
                <c:pt idx="7">
                  <c:v>24</c:v>
                </c:pt>
                <c:pt idx="8">
                  <c:v>28</c:v>
                </c:pt>
                <c:pt idx="9">
                  <c:v>29</c:v>
                </c:pt>
                <c:pt idx="10">
                  <c:v>30</c:v>
                </c:pt>
                <c:pt idx="11">
                  <c:v>30</c:v>
                </c:pt>
              </c:numCache>
            </c:numRef>
          </c:val>
          <c:smooth val="0"/>
          <c:extLst>
            <c:ext xmlns:c16="http://schemas.microsoft.com/office/drawing/2014/chart" uri="{C3380CC4-5D6E-409C-BE32-E72D297353CC}">
              <c16:uniqueId val="{00000003-71F1-4F49-BAED-C4FF5D0E3C82}"/>
            </c:ext>
          </c:extLst>
        </c:ser>
        <c:dLbls>
          <c:showLegendKey val="0"/>
          <c:showVal val="0"/>
          <c:showCatName val="0"/>
          <c:showSerName val="0"/>
          <c:showPercent val="0"/>
          <c:showBubbleSize val="0"/>
        </c:dLbls>
        <c:smooth val="0"/>
        <c:axId val="753066240"/>
        <c:axId val="753056072"/>
      </c:lineChart>
      <c:catAx>
        <c:axId val="75306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3056072"/>
        <c:crosses val="autoZero"/>
        <c:auto val="1"/>
        <c:lblAlgn val="ctr"/>
        <c:lblOffset val="100"/>
        <c:noMultiLvlLbl val="0"/>
      </c:catAx>
      <c:valAx>
        <c:axId val="753056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306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User</a:t>
            </a:r>
            <a:r>
              <a:rPr lang="en-GB" baseline="0"/>
              <a:t> retention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Total</c:v>
                </c:pt>
              </c:strCache>
            </c:strRef>
          </c:tx>
          <c:spPr>
            <a:ln w="28575" cap="rnd">
              <a:solidFill>
                <a:schemeClr val="accent1"/>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Sheet1!$B$2:$B$13</c:f>
              <c:numCache>
                <c:formatCode>General</c:formatCode>
                <c:ptCount val="12"/>
                <c:pt idx="0">
                  <c:v>585</c:v>
                </c:pt>
                <c:pt idx="1">
                  <c:v>607</c:v>
                </c:pt>
                <c:pt idx="2">
                  <c:v>579</c:v>
                </c:pt>
                <c:pt idx="3">
                  <c:v>546</c:v>
                </c:pt>
                <c:pt idx="4">
                  <c:v>722</c:v>
                </c:pt>
                <c:pt idx="5">
                  <c:v>575</c:v>
                </c:pt>
                <c:pt idx="6">
                  <c:v>640</c:v>
                </c:pt>
                <c:pt idx="7">
                  <c:v>683</c:v>
                </c:pt>
                <c:pt idx="8">
                  <c:v>660</c:v>
                </c:pt>
                <c:pt idx="9">
                  <c:v>609</c:v>
                </c:pt>
                <c:pt idx="10">
                  <c:v>460</c:v>
                </c:pt>
                <c:pt idx="11">
                  <c:v>235</c:v>
                </c:pt>
              </c:numCache>
            </c:numRef>
          </c:val>
          <c:smooth val="0"/>
          <c:extLst>
            <c:ext xmlns:c16="http://schemas.microsoft.com/office/drawing/2014/chart" uri="{C3380CC4-5D6E-409C-BE32-E72D297353CC}">
              <c16:uniqueId val="{00000000-7A0A-0446-8B2A-82E14B82794D}"/>
            </c:ext>
          </c:extLst>
        </c:ser>
        <c:ser>
          <c:idx val="1"/>
          <c:order val="1"/>
          <c:tx>
            <c:strRef>
              <c:f>Sheet1!$C$1</c:f>
              <c:strCache>
                <c:ptCount val="1"/>
                <c:pt idx="0">
                  <c:v>Allied Health </c:v>
                </c:pt>
              </c:strCache>
            </c:strRef>
          </c:tx>
          <c:spPr>
            <a:ln w="28575" cap="rnd">
              <a:solidFill>
                <a:schemeClr val="accent2"/>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Sheet1!$C$2:$C$13</c:f>
              <c:numCache>
                <c:formatCode>General</c:formatCode>
                <c:ptCount val="12"/>
                <c:pt idx="0">
                  <c:v>91</c:v>
                </c:pt>
                <c:pt idx="1">
                  <c:v>115</c:v>
                </c:pt>
                <c:pt idx="2">
                  <c:v>137</c:v>
                </c:pt>
                <c:pt idx="3">
                  <c:v>130</c:v>
                </c:pt>
                <c:pt idx="4">
                  <c:v>159</c:v>
                </c:pt>
                <c:pt idx="5">
                  <c:v>102</c:v>
                </c:pt>
                <c:pt idx="6">
                  <c:v>41</c:v>
                </c:pt>
                <c:pt idx="7">
                  <c:v>82</c:v>
                </c:pt>
                <c:pt idx="8">
                  <c:v>32</c:v>
                </c:pt>
                <c:pt idx="9">
                  <c:v>23</c:v>
                </c:pt>
                <c:pt idx="10">
                  <c:v>52</c:v>
                </c:pt>
                <c:pt idx="11">
                  <c:v>11</c:v>
                </c:pt>
              </c:numCache>
            </c:numRef>
          </c:val>
          <c:smooth val="0"/>
          <c:extLst>
            <c:ext xmlns:c16="http://schemas.microsoft.com/office/drawing/2014/chart" uri="{C3380CC4-5D6E-409C-BE32-E72D297353CC}">
              <c16:uniqueId val="{00000001-7A0A-0446-8B2A-82E14B82794D}"/>
            </c:ext>
          </c:extLst>
        </c:ser>
        <c:ser>
          <c:idx val="2"/>
          <c:order val="2"/>
          <c:tx>
            <c:strRef>
              <c:f>Sheet1!$D$1</c:f>
              <c:strCache>
                <c:ptCount val="1"/>
                <c:pt idx="0">
                  <c:v>Medicine</c:v>
                </c:pt>
              </c:strCache>
            </c:strRef>
          </c:tx>
          <c:spPr>
            <a:ln w="28575" cap="rnd">
              <a:solidFill>
                <a:schemeClr val="accent3"/>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Sheet1!$D$2:$D$13</c:f>
              <c:numCache>
                <c:formatCode>General</c:formatCode>
                <c:ptCount val="12"/>
                <c:pt idx="0">
                  <c:v>289</c:v>
                </c:pt>
                <c:pt idx="1">
                  <c:v>320</c:v>
                </c:pt>
                <c:pt idx="2">
                  <c:v>244</c:v>
                </c:pt>
                <c:pt idx="3">
                  <c:v>306</c:v>
                </c:pt>
                <c:pt idx="4">
                  <c:v>341</c:v>
                </c:pt>
                <c:pt idx="5">
                  <c:v>307</c:v>
                </c:pt>
                <c:pt idx="6">
                  <c:v>473</c:v>
                </c:pt>
                <c:pt idx="7">
                  <c:v>402</c:v>
                </c:pt>
                <c:pt idx="8">
                  <c:v>476</c:v>
                </c:pt>
                <c:pt idx="9">
                  <c:v>388</c:v>
                </c:pt>
                <c:pt idx="10">
                  <c:v>324</c:v>
                </c:pt>
                <c:pt idx="11">
                  <c:v>213</c:v>
                </c:pt>
              </c:numCache>
            </c:numRef>
          </c:val>
          <c:smooth val="0"/>
          <c:extLst>
            <c:ext xmlns:c16="http://schemas.microsoft.com/office/drawing/2014/chart" uri="{C3380CC4-5D6E-409C-BE32-E72D297353CC}">
              <c16:uniqueId val="{00000002-7A0A-0446-8B2A-82E14B82794D}"/>
            </c:ext>
          </c:extLst>
        </c:ser>
        <c:ser>
          <c:idx val="3"/>
          <c:order val="3"/>
          <c:tx>
            <c:strRef>
              <c:f>Sheet1!$E$1</c:f>
              <c:strCache>
                <c:ptCount val="1"/>
                <c:pt idx="0">
                  <c:v>Postgraduate </c:v>
                </c:pt>
              </c:strCache>
            </c:strRef>
          </c:tx>
          <c:spPr>
            <a:ln w="28575" cap="rnd">
              <a:solidFill>
                <a:schemeClr val="accent4"/>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Sheet1!$E$2:$E$13</c:f>
              <c:numCache>
                <c:formatCode>General</c:formatCode>
                <c:ptCount val="12"/>
                <c:pt idx="0">
                  <c:v>28</c:v>
                </c:pt>
                <c:pt idx="1">
                  <c:v>13</c:v>
                </c:pt>
                <c:pt idx="2">
                  <c:v>7</c:v>
                </c:pt>
                <c:pt idx="3">
                  <c:v>1</c:v>
                </c:pt>
                <c:pt idx="4">
                  <c:v>15</c:v>
                </c:pt>
                <c:pt idx="5">
                  <c:v>12</c:v>
                </c:pt>
                <c:pt idx="6">
                  <c:v>9</c:v>
                </c:pt>
                <c:pt idx="7">
                  <c:v>16</c:v>
                </c:pt>
                <c:pt idx="8">
                  <c:v>14</c:v>
                </c:pt>
                <c:pt idx="9">
                  <c:v>3</c:v>
                </c:pt>
                <c:pt idx="10">
                  <c:v>8</c:v>
                </c:pt>
                <c:pt idx="11">
                  <c:v>5</c:v>
                </c:pt>
              </c:numCache>
            </c:numRef>
          </c:val>
          <c:smooth val="0"/>
          <c:extLst>
            <c:ext xmlns:c16="http://schemas.microsoft.com/office/drawing/2014/chart" uri="{C3380CC4-5D6E-409C-BE32-E72D297353CC}">
              <c16:uniqueId val="{00000003-7A0A-0446-8B2A-82E14B82794D}"/>
            </c:ext>
          </c:extLst>
        </c:ser>
        <c:ser>
          <c:idx val="4"/>
          <c:order val="4"/>
          <c:tx>
            <c:strRef>
              <c:f>Sheet1!$F$1</c:f>
              <c:strCache>
                <c:ptCount val="1"/>
                <c:pt idx="0">
                  <c:v>UG Science</c:v>
                </c:pt>
              </c:strCache>
            </c:strRef>
          </c:tx>
          <c:spPr>
            <a:ln w="28575" cap="rnd">
              <a:solidFill>
                <a:schemeClr val="accent5"/>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Sheet1!$F$2:$F$13</c:f>
              <c:numCache>
                <c:formatCode>General</c:formatCode>
                <c:ptCount val="12"/>
                <c:pt idx="0">
                  <c:v>220</c:v>
                </c:pt>
                <c:pt idx="1">
                  <c:v>202</c:v>
                </c:pt>
                <c:pt idx="2">
                  <c:v>223</c:v>
                </c:pt>
                <c:pt idx="3">
                  <c:v>143</c:v>
                </c:pt>
                <c:pt idx="4">
                  <c:v>250</c:v>
                </c:pt>
                <c:pt idx="5">
                  <c:v>206</c:v>
                </c:pt>
                <c:pt idx="6">
                  <c:v>162</c:v>
                </c:pt>
                <c:pt idx="7">
                  <c:v>242</c:v>
                </c:pt>
                <c:pt idx="8">
                  <c:v>188</c:v>
                </c:pt>
                <c:pt idx="9">
                  <c:v>236</c:v>
                </c:pt>
                <c:pt idx="10">
                  <c:v>117</c:v>
                </c:pt>
                <c:pt idx="11">
                  <c:v>31</c:v>
                </c:pt>
              </c:numCache>
            </c:numRef>
          </c:val>
          <c:smooth val="0"/>
          <c:extLst>
            <c:ext xmlns:c16="http://schemas.microsoft.com/office/drawing/2014/chart" uri="{C3380CC4-5D6E-409C-BE32-E72D297353CC}">
              <c16:uniqueId val="{00000004-7A0A-0446-8B2A-82E14B82794D}"/>
            </c:ext>
          </c:extLst>
        </c:ser>
        <c:dLbls>
          <c:showLegendKey val="0"/>
          <c:showVal val="0"/>
          <c:showCatName val="0"/>
          <c:showSerName val="0"/>
          <c:showPercent val="0"/>
          <c:showBubbleSize val="0"/>
        </c:dLbls>
        <c:smooth val="0"/>
        <c:axId val="753066240"/>
        <c:axId val="753056072"/>
      </c:lineChart>
      <c:catAx>
        <c:axId val="75306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3056072"/>
        <c:crosses val="autoZero"/>
        <c:auto val="1"/>
        <c:lblAlgn val="ctr"/>
        <c:lblOffset val="100"/>
        <c:noMultiLvlLbl val="0"/>
      </c:catAx>
      <c:valAx>
        <c:axId val="753056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306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Account</a:t>
            </a:r>
            <a:r>
              <a:rPr lang="en-GB" baseline="0"/>
              <a:t> activations as a percentage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Total</c:v>
                </c:pt>
              </c:strCache>
            </c:strRef>
          </c:tx>
          <c:spPr>
            <a:ln w="28575" cap="rnd">
              <a:solidFill>
                <a:schemeClr val="accent1"/>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Sheet1!$B$2:$B$13</c:f>
              <c:numCache>
                <c:formatCode>General</c:formatCode>
                <c:ptCount val="12"/>
                <c:pt idx="0">
                  <c:v>49</c:v>
                </c:pt>
                <c:pt idx="1">
                  <c:v>56</c:v>
                </c:pt>
                <c:pt idx="2">
                  <c:v>59</c:v>
                </c:pt>
                <c:pt idx="3">
                  <c:v>60</c:v>
                </c:pt>
                <c:pt idx="4">
                  <c:v>62</c:v>
                </c:pt>
                <c:pt idx="5">
                  <c:v>63</c:v>
                </c:pt>
                <c:pt idx="6">
                  <c:v>64</c:v>
                </c:pt>
                <c:pt idx="7">
                  <c:v>64</c:v>
                </c:pt>
                <c:pt idx="8">
                  <c:v>65</c:v>
                </c:pt>
                <c:pt idx="9">
                  <c:v>65</c:v>
                </c:pt>
                <c:pt idx="10">
                  <c:v>65</c:v>
                </c:pt>
                <c:pt idx="11">
                  <c:v>65</c:v>
                </c:pt>
              </c:numCache>
            </c:numRef>
          </c:val>
          <c:smooth val="0"/>
          <c:extLst>
            <c:ext xmlns:c16="http://schemas.microsoft.com/office/drawing/2014/chart" uri="{C3380CC4-5D6E-409C-BE32-E72D297353CC}">
              <c16:uniqueId val="{00000000-1A2E-5342-A7EA-DBC3430D4A03}"/>
            </c:ext>
          </c:extLst>
        </c:ser>
        <c:ser>
          <c:idx val="1"/>
          <c:order val="1"/>
          <c:tx>
            <c:strRef>
              <c:f>Sheet1!$C$1</c:f>
              <c:strCache>
                <c:ptCount val="1"/>
                <c:pt idx="0">
                  <c:v>Allied Health</c:v>
                </c:pt>
              </c:strCache>
            </c:strRef>
          </c:tx>
          <c:spPr>
            <a:ln w="28575" cap="rnd">
              <a:solidFill>
                <a:schemeClr val="accent2"/>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Sheet1!$C$2:$C$13</c:f>
              <c:numCache>
                <c:formatCode>General</c:formatCode>
                <c:ptCount val="12"/>
                <c:pt idx="0">
                  <c:v>30</c:v>
                </c:pt>
                <c:pt idx="1">
                  <c:v>37</c:v>
                </c:pt>
                <c:pt idx="2">
                  <c:v>41</c:v>
                </c:pt>
                <c:pt idx="3">
                  <c:v>41</c:v>
                </c:pt>
                <c:pt idx="4">
                  <c:v>43</c:v>
                </c:pt>
                <c:pt idx="5">
                  <c:v>44</c:v>
                </c:pt>
                <c:pt idx="6">
                  <c:v>44</c:v>
                </c:pt>
                <c:pt idx="7">
                  <c:v>44</c:v>
                </c:pt>
                <c:pt idx="8">
                  <c:v>44</c:v>
                </c:pt>
                <c:pt idx="9">
                  <c:v>44</c:v>
                </c:pt>
                <c:pt idx="10">
                  <c:v>45</c:v>
                </c:pt>
                <c:pt idx="11">
                  <c:v>45</c:v>
                </c:pt>
              </c:numCache>
            </c:numRef>
          </c:val>
          <c:smooth val="0"/>
          <c:extLst>
            <c:ext xmlns:c16="http://schemas.microsoft.com/office/drawing/2014/chart" uri="{C3380CC4-5D6E-409C-BE32-E72D297353CC}">
              <c16:uniqueId val="{00000001-1A2E-5342-A7EA-DBC3430D4A03}"/>
            </c:ext>
          </c:extLst>
        </c:ser>
        <c:ser>
          <c:idx val="2"/>
          <c:order val="2"/>
          <c:tx>
            <c:strRef>
              <c:f>Sheet1!$D$1</c:f>
              <c:strCache>
                <c:ptCount val="1"/>
                <c:pt idx="0">
                  <c:v>Medicine </c:v>
                </c:pt>
              </c:strCache>
            </c:strRef>
          </c:tx>
          <c:spPr>
            <a:ln w="28575" cap="rnd">
              <a:solidFill>
                <a:schemeClr val="accent3"/>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Sheet1!$D$2:$D$13</c:f>
              <c:numCache>
                <c:formatCode>General</c:formatCode>
                <c:ptCount val="12"/>
                <c:pt idx="0">
                  <c:v>75</c:v>
                </c:pt>
                <c:pt idx="1">
                  <c:v>80</c:v>
                </c:pt>
                <c:pt idx="2">
                  <c:v>82</c:v>
                </c:pt>
                <c:pt idx="3">
                  <c:v>82</c:v>
                </c:pt>
                <c:pt idx="4">
                  <c:v>84</c:v>
                </c:pt>
                <c:pt idx="5">
                  <c:v>86</c:v>
                </c:pt>
                <c:pt idx="6">
                  <c:v>86</c:v>
                </c:pt>
                <c:pt idx="7">
                  <c:v>87</c:v>
                </c:pt>
                <c:pt idx="8">
                  <c:v>87</c:v>
                </c:pt>
                <c:pt idx="9">
                  <c:v>87</c:v>
                </c:pt>
                <c:pt idx="10">
                  <c:v>89</c:v>
                </c:pt>
                <c:pt idx="11">
                  <c:v>89</c:v>
                </c:pt>
              </c:numCache>
            </c:numRef>
          </c:val>
          <c:smooth val="0"/>
          <c:extLst>
            <c:ext xmlns:c16="http://schemas.microsoft.com/office/drawing/2014/chart" uri="{C3380CC4-5D6E-409C-BE32-E72D297353CC}">
              <c16:uniqueId val="{00000002-1A2E-5342-A7EA-DBC3430D4A03}"/>
            </c:ext>
          </c:extLst>
        </c:ser>
        <c:ser>
          <c:idx val="3"/>
          <c:order val="3"/>
          <c:tx>
            <c:strRef>
              <c:f>Sheet1!$E$1</c:f>
              <c:strCache>
                <c:ptCount val="1"/>
                <c:pt idx="0">
                  <c:v>UG Science</c:v>
                </c:pt>
              </c:strCache>
            </c:strRef>
          </c:tx>
          <c:spPr>
            <a:ln w="28575" cap="rnd">
              <a:solidFill>
                <a:schemeClr val="accent4"/>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Sheet1!$E$2:$E$13</c:f>
              <c:numCache>
                <c:formatCode>General</c:formatCode>
                <c:ptCount val="12"/>
                <c:pt idx="0">
                  <c:v>59</c:v>
                </c:pt>
                <c:pt idx="1">
                  <c:v>67</c:v>
                </c:pt>
                <c:pt idx="2">
                  <c:v>71</c:v>
                </c:pt>
                <c:pt idx="3">
                  <c:v>71</c:v>
                </c:pt>
                <c:pt idx="4">
                  <c:v>75</c:v>
                </c:pt>
                <c:pt idx="5">
                  <c:v>77</c:v>
                </c:pt>
                <c:pt idx="6">
                  <c:v>77</c:v>
                </c:pt>
                <c:pt idx="7">
                  <c:v>77</c:v>
                </c:pt>
                <c:pt idx="8">
                  <c:v>78</c:v>
                </c:pt>
                <c:pt idx="9">
                  <c:v>78</c:v>
                </c:pt>
                <c:pt idx="10">
                  <c:v>78</c:v>
                </c:pt>
                <c:pt idx="11">
                  <c:v>78</c:v>
                </c:pt>
              </c:numCache>
            </c:numRef>
          </c:val>
          <c:smooth val="0"/>
          <c:extLst>
            <c:ext xmlns:c16="http://schemas.microsoft.com/office/drawing/2014/chart" uri="{C3380CC4-5D6E-409C-BE32-E72D297353CC}">
              <c16:uniqueId val="{00000003-1A2E-5342-A7EA-DBC3430D4A03}"/>
            </c:ext>
          </c:extLst>
        </c:ser>
        <c:ser>
          <c:idx val="4"/>
          <c:order val="4"/>
          <c:tx>
            <c:strRef>
              <c:f>Sheet1!$F$1</c:f>
              <c:strCache>
                <c:ptCount val="1"/>
                <c:pt idx="0">
                  <c:v>Postgraduate</c:v>
                </c:pt>
              </c:strCache>
            </c:strRef>
          </c:tx>
          <c:spPr>
            <a:ln w="28575" cap="rnd">
              <a:solidFill>
                <a:schemeClr val="accent5"/>
              </a:solidFill>
              <a:round/>
            </a:ln>
            <a:effectLst/>
          </c:spPr>
          <c:marker>
            <c:symbol val="none"/>
          </c:marker>
          <c:cat>
            <c:strRef>
              <c:f>Sheet1!$A$2:$A$13</c:f>
              <c:strCache>
                <c:ptCount val="12"/>
                <c:pt idx="0">
                  <c:v>Week One</c:v>
                </c:pt>
                <c:pt idx="1">
                  <c:v>Week Four</c:v>
                </c:pt>
                <c:pt idx="2">
                  <c:v>Week Eight</c:v>
                </c:pt>
                <c:pt idx="3">
                  <c:v>Week Twelve</c:v>
                </c:pt>
                <c:pt idx="4">
                  <c:v>Week Sixteen</c:v>
                </c:pt>
                <c:pt idx="5">
                  <c:v>Week Twenty</c:v>
                </c:pt>
                <c:pt idx="6">
                  <c:v>Week Twenty-Four</c:v>
                </c:pt>
                <c:pt idx="7">
                  <c:v>Week Twenty-Eight</c:v>
                </c:pt>
                <c:pt idx="8">
                  <c:v>Week Thirty-Two</c:v>
                </c:pt>
                <c:pt idx="9">
                  <c:v>Week Thirty-Six</c:v>
                </c:pt>
                <c:pt idx="10">
                  <c:v>Week Fourty</c:v>
                </c:pt>
                <c:pt idx="11">
                  <c:v>Week Fourty-Five</c:v>
                </c:pt>
              </c:strCache>
            </c:strRef>
          </c:cat>
          <c:val>
            <c:numRef>
              <c:f>Sheet1!$F$2:$F$13</c:f>
              <c:numCache>
                <c:formatCode>General</c:formatCode>
                <c:ptCount val="12"/>
                <c:pt idx="0">
                  <c:v>23</c:v>
                </c:pt>
                <c:pt idx="1">
                  <c:v>31</c:v>
                </c:pt>
                <c:pt idx="2">
                  <c:v>32</c:v>
                </c:pt>
                <c:pt idx="3">
                  <c:v>32</c:v>
                </c:pt>
                <c:pt idx="4">
                  <c:v>32</c:v>
                </c:pt>
                <c:pt idx="5">
                  <c:v>32</c:v>
                </c:pt>
                <c:pt idx="6">
                  <c:v>32</c:v>
                </c:pt>
                <c:pt idx="7">
                  <c:v>34</c:v>
                </c:pt>
                <c:pt idx="8">
                  <c:v>34</c:v>
                </c:pt>
                <c:pt idx="9">
                  <c:v>36</c:v>
                </c:pt>
                <c:pt idx="10">
                  <c:v>36</c:v>
                </c:pt>
                <c:pt idx="11">
                  <c:v>36</c:v>
                </c:pt>
              </c:numCache>
            </c:numRef>
          </c:val>
          <c:smooth val="0"/>
          <c:extLst>
            <c:ext xmlns:c16="http://schemas.microsoft.com/office/drawing/2014/chart" uri="{C3380CC4-5D6E-409C-BE32-E72D297353CC}">
              <c16:uniqueId val="{00000004-1A2E-5342-A7EA-DBC3430D4A03}"/>
            </c:ext>
          </c:extLst>
        </c:ser>
        <c:dLbls>
          <c:showLegendKey val="0"/>
          <c:showVal val="0"/>
          <c:showCatName val="0"/>
          <c:showSerName val="0"/>
          <c:showPercent val="0"/>
          <c:showBubbleSize val="0"/>
        </c:dLbls>
        <c:smooth val="0"/>
        <c:axId val="753047872"/>
        <c:axId val="753049840"/>
      </c:lineChart>
      <c:catAx>
        <c:axId val="75304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3049840"/>
        <c:crosses val="autoZero"/>
        <c:auto val="1"/>
        <c:lblAlgn val="ctr"/>
        <c:lblOffset val="100"/>
        <c:noMultiLvlLbl val="0"/>
      </c:catAx>
      <c:valAx>
        <c:axId val="753049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3047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A. Unitu Summary Report 2020-21</dc:title>
  <dc:subject>
  </dc:subject>
  <dc:creator>Jeffrey Saddington-Wiltshire</dc:creator>
  <cp:keywords>
  </cp:keywords>
  <dc:description>
  </dc:description>
  <cp:lastModifiedBy>Jeffrey Saddington-Wiltshire</cp:lastModifiedBy>
  <cp:revision>4</cp:revision>
  <dcterms:created xsi:type="dcterms:W3CDTF">2021-08-23T15:21:00Z</dcterms:created>
  <dcterms:modified xsi:type="dcterms:W3CDTF">2021-09-16T12:08:03Z</dcterms:modified>
</cp:coreProperties>
</file>