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90AAE" w:rsidR="005B0590" w:rsidP="67A1F232" w:rsidRDefault="037A6C17" w14:paraId="03E22356" w14:textId="37038913">
      <w:pPr>
        <w:rPr>
          <w:b/>
          <w:bCs/>
        </w:rPr>
      </w:pPr>
      <w:bookmarkStart w:name="_GoBack" w:id="0"/>
      <w:bookmarkEnd w:id="0"/>
      <w:r w:rsidRPr="67A1F232">
        <w:rPr>
          <w:b/>
          <w:bCs/>
        </w:rPr>
        <w:t>Shared Connections</w:t>
      </w:r>
      <w:r w:rsidRPr="67A1F232" w:rsidR="00790AAE">
        <w:rPr>
          <w:b/>
          <w:bCs/>
        </w:rPr>
        <w:t xml:space="preserve"> Working Group</w:t>
      </w:r>
    </w:p>
    <w:p w:rsidR="00790AAE" w:rsidRDefault="00790AAE" w14:paraId="293FB98E" w14:textId="77777777">
      <w:r>
        <w:t>Terms of reference</w:t>
      </w:r>
    </w:p>
    <w:p w:rsidR="00790AAE" w:rsidRDefault="00790AAE" w14:paraId="3C834E53" w14:textId="5BDAAC9F">
      <w:r>
        <w:t xml:space="preserve">The group </w:t>
      </w:r>
      <w:r w:rsidR="00924401">
        <w:t>is a vehicle for P</w:t>
      </w:r>
      <w:r w:rsidR="3A122226">
        <w:t>rofessional and Technical Services</w:t>
      </w:r>
      <w:r w:rsidR="00924401">
        <w:t xml:space="preserve"> staff (including </w:t>
      </w:r>
      <w:r w:rsidR="008213E7">
        <w:t>administrative and technical</w:t>
      </w:r>
      <w:r w:rsidR="00924401">
        <w:t>) voices to be heard and actively listened to.  It reports into the Athena S</w:t>
      </w:r>
      <w:r w:rsidR="008213E7">
        <w:t>WAN SAT and is supported by S</w:t>
      </w:r>
      <w:r w:rsidR="00924401">
        <w:t xml:space="preserve">enior </w:t>
      </w:r>
      <w:r w:rsidR="008213E7">
        <w:t xml:space="preserve">Professional Services </w:t>
      </w:r>
      <w:r w:rsidR="00924401">
        <w:t>staff.</w:t>
      </w:r>
    </w:p>
    <w:p w:rsidR="00924401" w:rsidRDefault="00924401" w14:paraId="404A958F" w14:textId="77777777">
      <w:r>
        <w:t>The group will:</w:t>
      </w:r>
    </w:p>
    <w:p w:rsidR="00790AAE" w:rsidP="67A1F232" w:rsidRDefault="00790AAE" w14:paraId="501B81BF" w14:textId="2C866298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Investigate the development needs and aspirations of </w:t>
      </w:r>
      <w:r w:rsidR="008213E7">
        <w:t xml:space="preserve">all </w:t>
      </w:r>
      <w:r w:rsidR="3C09B12E">
        <w:t>Professional and Technical Services</w:t>
      </w:r>
      <w:r>
        <w:t xml:space="preserve"> staff</w:t>
      </w:r>
    </w:p>
    <w:p w:rsidR="00790AAE" w:rsidP="00790AAE" w:rsidRDefault="00790AAE" w14:paraId="20CD0FF4" w14:textId="77777777">
      <w:pPr>
        <w:pStyle w:val="ListParagraph"/>
        <w:numPr>
          <w:ilvl w:val="0"/>
          <w:numId w:val="1"/>
        </w:numPr>
      </w:pPr>
      <w:r>
        <w:t>Identify initiatives and activities that can meet development needs</w:t>
      </w:r>
    </w:p>
    <w:p w:rsidR="00790AAE" w:rsidP="00790AAE" w:rsidRDefault="00790AAE" w14:paraId="7F3ECBE5" w14:textId="77777777">
      <w:pPr>
        <w:pStyle w:val="ListParagraph"/>
        <w:numPr>
          <w:ilvl w:val="0"/>
          <w:numId w:val="1"/>
        </w:numPr>
      </w:pPr>
      <w:r>
        <w:t>Identify initiatives and activities that help foster a sense of institutional awareness and belonging</w:t>
      </w:r>
    </w:p>
    <w:p w:rsidR="00790AAE" w:rsidP="00790AAE" w:rsidRDefault="00790AAE" w14:paraId="4BE48A00" w14:textId="77777777">
      <w:pPr>
        <w:pStyle w:val="ListParagraph"/>
        <w:numPr>
          <w:ilvl w:val="0"/>
          <w:numId w:val="1"/>
        </w:numPr>
      </w:pPr>
      <w:r>
        <w:t xml:space="preserve">Organise and run activities and initiatives as </w:t>
      </w:r>
      <w:r w:rsidR="008213E7">
        <w:t>appropriate and with support from</w:t>
      </w:r>
      <w:r>
        <w:t xml:space="preserve"> senior staff against an agreed action plan</w:t>
      </w:r>
    </w:p>
    <w:p w:rsidR="00924401" w:rsidP="00924401" w:rsidRDefault="00924401" w14:paraId="2202FE8E" w14:textId="77777777">
      <w:pPr>
        <w:pStyle w:val="ListParagraph"/>
        <w:numPr>
          <w:ilvl w:val="0"/>
          <w:numId w:val="1"/>
        </w:numPr>
      </w:pPr>
      <w:r>
        <w:t>Share (good) practice and lessons learned from across the University</w:t>
      </w:r>
    </w:p>
    <w:p w:rsidR="00924401" w:rsidP="00790AAE" w:rsidRDefault="00924401" w14:paraId="40310698" w14:textId="77777777">
      <w:pPr>
        <w:pStyle w:val="ListParagraph"/>
        <w:numPr>
          <w:ilvl w:val="0"/>
          <w:numId w:val="1"/>
        </w:numPr>
      </w:pPr>
      <w:r>
        <w:t xml:space="preserve">Collect qualitative and quantitative information for </w:t>
      </w:r>
      <w:r w:rsidR="008213E7">
        <w:t xml:space="preserve">future </w:t>
      </w:r>
      <w:r>
        <w:t xml:space="preserve">Athena </w:t>
      </w:r>
      <w:r w:rsidR="008213E7">
        <w:t xml:space="preserve">SWAN </w:t>
      </w:r>
      <w:r>
        <w:t>submission</w:t>
      </w:r>
      <w:r w:rsidR="008213E7">
        <w:t>s</w:t>
      </w:r>
    </w:p>
    <w:p w:rsidR="00924401" w:rsidP="584AA6DC" w:rsidRDefault="00924401" w14:paraId="28E1D7AB" w14:textId="77777777">
      <w:pPr>
        <w:rPr>
          <w:rFonts w:eastAsiaTheme="minorEastAsia"/>
        </w:rPr>
      </w:pPr>
      <w:r>
        <w:t xml:space="preserve">Membership will be representative of departments and </w:t>
      </w:r>
      <w:r w:rsidR="008213E7">
        <w:t xml:space="preserve">aim to </w:t>
      </w:r>
      <w:r>
        <w:t xml:space="preserve">include a </w:t>
      </w:r>
      <w:r w:rsidR="008213E7">
        <w:t xml:space="preserve">balance of gender and grades </w:t>
      </w:r>
      <w:r>
        <w:t xml:space="preserve">as well as diversity across other protected characteristics.  It is </w:t>
      </w:r>
      <w:r w:rsidR="008213E7">
        <w:t>expected</w:t>
      </w:r>
      <w:r>
        <w:t xml:space="preserve"> that members will communicate with their areas and be in a position to represent a broad range of views.  The departments to b</w:t>
      </w:r>
      <w:r w:rsidRPr="584AA6DC">
        <w:rPr>
          <w:rFonts w:eastAsiaTheme="minorEastAsia"/>
        </w:rPr>
        <w:t>e represented are:</w:t>
      </w:r>
    </w:p>
    <w:p w:rsidR="584AA6DC" w:rsidP="584AA6DC" w:rsidRDefault="584AA6DC" w14:paraId="5314BD97" w14:textId="3AA3B44F">
      <w:pPr>
        <w:rPr>
          <w:rFonts w:eastAsiaTheme="minorEastAsia"/>
        </w:rPr>
      </w:pPr>
    </w:p>
    <w:tbl>
      <w:tblPr>
        <w:tblStyle w:val="TableGrid"/>
        <w:tblW w:w="0" w:type="auto"/>
        <w:tblBorders>
          <w:top w:val="none" w:color="000000" w:themeColor="text1" w:sz="4" w:space="0"/>
          <w:left w:val="none" w:color="000000" w:themeColor="text1" w:sz="4" w:space="0"/>
          <w:bottom w:val="none" w:color="000000" w:themeColor="text1" w:sz="4" w:space="0"/>
          <w:right w:val="none" w:color="000000" w:themeColor="text1" w:sz="4" w:space="0"/>
          <w:insideH w:val="none" w:color="000000" w:themeColor="text1" w:sz="4" w:space="0"/>
          <w:insideV w:val="non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740"/>
      </w:tblGrid>
      <w:tr w:rsidR="584AA6DC" w:rsidTr="584AA6DC" w14:paraId="39476EA2" w14:textId="77777777">
        <w:tc>
          <w:tcPr>
            <w:tcW w:w="4740" w:type="dxa"/>
          </w:tcPr>
          <w:p w:rsidR="584AA6DC" w:rsidP="584AA6DC" w:rsidRDefault="584AA6DC" w14:paraId="41FE9DF6" w14:textId="36C119C7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Research Support</w:t>
            </w:r>
          </w:p>
        </w:tc>
      </w:tr>
      <w:tr w:rsidR="584AA6DC" w:rsidTr="584AA6DC" w14:paraId="5ABF38B3" w14:textId="77777777">
        <w:tc>
          <w:tcPr>
            <w:tcW w:w="4740" w:type="dxa"/>
          </w:tcPr>
          <w:p w:rsidR="584AA6DC" w:rsidP="584AA6DC" w:rsidRDefault="584AA6DC" w14:paraId="52A81FF9" w14:textId="50755383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Estates &amp; Facilities</w:t>
            </w:r>
          </w:p>
        </w:tc>
      </w:tr>
      <w:tr w:rsidR="584AA6DC" w:rsidTr="584AA6DC" w14:paraId="2B482E92" w14:textId="77777777">
        <w:tc>
          <w:tcPr>
            <w:tcW w:w="4740" w:type="dxa"/>
          </w:tcPr>
          <w:p w:rsidR="584AA6DC" w:rsidP="584AA6DC" w:rsidRDefault="584AA6DC" w14:paraId="7A4FA4F5" w14:textId="59E80415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Finance &amp; Planning</w:t>
            </w:r>
          </w:p>
        </w:tc>
      </w:tr>
      <w:tr w:rsidR="584AA6DC" w:rsidTr="584AA6DC" w14:paraId="4793156D" w14:textId="77777777">
        <w:tc>
          <w:tcPr>
            <w:tcW w:w="4740" w:type="dxa"/>
          </w:tcPr>
          <w:p w:rsidR="584AA6DC" w:rsidP="584AA6DC" w:rsidRDefault="584AA6DC" w14:paraId="1FA5F21C" w14:textId="020AE8B8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Education Support</w:t>
            </w:r>
          </w:p>
        </w:tc>
      </w:tr>
      <w:tr w:rsidR="584AA6DC" w:rsidTr="584AA6DC" w14:paraId="28D63D88" w14:textId="77777777">
        <w:tc>
          <w:tcPr>
            <w:tcW w:w="4740" w:type="dxa"/>
          </w:tcPr>
          <w:p w:rsidR="584AA6DC" w:rsidP="584AA6DC" w:rsidRDefault="584AA6DC" w14:paraId="2C24288B" w14:textId="7FBCBD08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External Relations, Communications &amp; Marketing</w:t>
            </w:r>
          </w:p>
        </w:tc>
      </w:tr>
      <w:tr w:rsidR="584AA6DC" w:rsidTr="584AA6DC" w14:paraId="47320051" w14:textId="77777777">
        <w:tc>
          <w:tcPr>
            <w:tcW w:w="4740" w:type="dxa"/>
          </w:tcPr>
          <w:p w:rsidR="584AA6DC" w:rsidP="584AA6DC" w:rsidRDefault="584AA6DC" w14:paraId="37CDCD36" w14:textId="6713B850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Human Resources &amp; Organisational Development</w:t>
            </w:r>
          </w:p>
        </w:tc>
      </w:tr>
      <w:tr w:rsidR="584AA6DC" w:rsidTr="584AA6DC" w14:paraId="1A672BEB" w14:textId="77777777">
        <w:tc>
          <w:tcPr>
            <w:tcW w:w="4740" w:type="dxa"/>
          </w:tcPr>
          <w:p w:rsidR="584AA6DC" w:rsidP="584AA6DC" w:rsidRDefault="584AA6DC" w14:paraId="4275CEAD" w14:textId="086D98E0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Information Services</w:t>
            </w:r>
          </w:p>
        </w:tc>
      </w:tr>
      <w:tr w:rsidR="584AA6DC" w:rsidTr="584AA6DC" w14:paraId="7025BB5B" w14:textId="77777777">
        <w:tc>
          <w:tcPr>
            <w:tcW w:w="4740" w:type="dxa"/>
          </w:tcPr>
          <w:p w:rsidR="584AA6DC" w:rsidP="584AA6DC" w:rsidRDefault="584AA6DC" w14:paraId="2C926228" w14:textId="4C0C745C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Joint Research &amp; Enterprise Services</w:t>
            </w:r>
          </w:p>
        </w:tc>
      </w:tr>
      <w:tr w:rsidR="584AA6DC" w:rsidTr="584AA6DC" w14:paraId="40B4EE56" w14:textId="77777777">
        <w:tc>
          <w:tcPr>
            <w:tcW w:w="4740" w:type="dxa"/>
          </w:tcPr>
          <w:p w:rsidR="584AA6DC" w:rsidP="584AA6DC" w:rsidRDefault="584AA6DC" w14:paraId="00C84886" w14:textId="7E8D69C4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Registry</w:t>
            </w:r>
          </w:p>
        </w:tc>
      </w:tr>
      <w:tr w:rsidR="584AA6DC" w:rsidTr="584AA6DC" w14:paraId="44E2F0E9" w14:textId="77777777">
        <w:tc>
          <w:tcPr>
            <w:tcW w:w="4740" w:type="dxa"/>
          </w:tcPr>
          <w:p w:rsidR="584AA6DC" w:rsidP="584AA6DC" w:rsidRDefault="584AA6DC" w14:paraId="16E0CF5A" w14:textId="1EDAE2EB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GLAS</w:t>
            </w:r>
          </w:p>
        </w:tc>
      </w:tr>
      <w:tr w:rsidR="584AA6DC" w:rsidTr="584AA6DC" w14:paraId="1DFC1534" w14:textId="77777777">
        <w:tc>
          <w:tcPr>
            <w:tcW w:w="4740" w:type="dxa"/>
          </w:tcPr>
          <w:p w:rsidR="584AA6DC" w:rsidP="584AA6DC" w:rsidRDefault="584AA6DC" w14:paraId="72E3B923" w14:textId="5B7D2A2F">
            <w:pPr>
              <w:spacing w:line="259" w:lineRule="auto"/>
              <w:rPr>
                <w:rFonts w:eastAsiaTheme="minorEastAsia"/>
                <w:color w:val="000000" w:themeColor="text1"/>
              </w:rPr>
            </w:pPr>
            <w:r w:rsidRPr="584AA6DC">
              <w:rPr>
                <w:rFonts w:eastAsiaTheme="minorEastAsia"/>
                <w:color w:val="000000" w:themeColor="text1"/>
              </w:rPr>
              <w:t>VC Office/ Quality &amp; Partnerships</w:t>
            </w:r>
          </w:p>
        </w:tc>
      </w:tr>
    </w:tbl>
    <w:p w:rsidR="00924401" w:rsidP="584AA6DC" w:rsidRDefault="00924401" w14:paraId="797F0517" w14:textId="5D8C5A7D">
      <w:pPr>
        <w:rPr>
          <w:rFonts w:eastAsiaTheme="minorEastAsia"/>
        </w:rPr>
      </w:pPr>
    </w:p>
    <w:p w:rsidR="00790AAE" w:rsidP="584AA6DC" w:rsidRDefault="00790AAE" w14:paraId="672A6659" w14:textId="77777777">
      <w:pPr>
        <w:rPr>
          <w:rFonts w:eastAsiaTheme="minorEastAsia"/>
        </w:rPr>
      </w:pPr>
    </w:p>
    <w:p w:rsidR="00924401" w:rsidRDefault="00924401" w14:paraId="0A37501D" w14:textId="77777777"/>
    <w:p w:rsidR="008213E7" w:rsidP="67A1F232" w:rsidRDefault="008213E7" w14:paraId="4ACDFCF1" w14:textId="16B28838">
      <w:r>
        <w:t>Sue David</w:t>
      </w:r>
      <w:r>
        <w:br/>
      </w:r>
      <w:r w:rsidR="1AA4460F">
        <w:t xml:space="preserve">September 2022 </w:t>
      </w:r>
    </w:p>
    <w:sectPr w:rsidR="00821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F6CA5"/>
    <w:multiLevelType w:val="hybridMultilevel"/>
    <w:tmpl w:val="95AED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71500"/>
    <w:multiLevelType w:val="hybridMultilevel"/>
    <w:tmpl w:val="B4CC9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C99D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11072"/>
    <w:multiLevelType w:val="hybridMultilevel"/>
    <w:tmpl w:val="12A22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AE"/>
    <w:rsid w:val="003A156B"/>
    <w:rsid w:val="005B0590"/>
    <w:rsid w:val="005E69AD"/>
    <w:rsid w:val="007708F4"/>
    <w:rsid w:val="00790AAE"/>
    <w:rsid w:val="008213E7"/>
    <w:rsid w:val="00924401"/>
    <w:rsid w:val="00F9702C"/>
    <w:rsid w:val="037A6C17"/>
    <w:rsid w:val="08A67706"/>
    <w:rsid w:val="1AA4460F"/>
    <w:rsid w:val="3A122226"/>
    <w:rsid w:val="3C09B12E"/>
    <w:rsid w:val="4DA6E28E"/>
    <w:rsid w:val="584AA6DC"/>
    <w:rsid w:val="603C9064"/>
    <w:rsid w:val="64FB2FBA"/>
    <w:rsid w:val="67A1F232"/>
    <w:rsid w:val="6B39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73EF"/>
  <w15:chartTrackingRefBased/>
  <w15:docId w15:val="{9DAFB9C2-B33A-4838-B9ED-F37C8A36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AAE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3EEEE9591F4479B17D4E1D58D4842" ma:contentTypeVersion="14" ma:contentTypeDescription="Create a new document." ma:contentTypeScope="" ma:versionID="a7be48e31b0dd8ae4a42749933fdb2fb">
  <xsd:schema xmlns:xsd="http://www.w3.org/2001/XMLSchema" xmlns:xs="http://www.w3.org/2001/XMLSchema" xmlns:p="http://schemas.microsoft.com/office/2006/metadata/properties" xmlns:ns3="34608e2a-a1b9-4d9a-a165-3f3152441886" xmlns:ns4="e1af0188-f0df-4c8f-91d9-9570df9ae30e" targetNamespace="http://schemas.microsoft.com/office/2006/metadata/properties" ma:root="true" ma:fieldsID="c4f9fca15af1aa6a15a4554936631612" ns3:_="" ns4:_="">
    <xsd:import namespace="34608e2a-a1b9-4d9a-a165-3f3152441886"/>
    <xsd:import namespace="e1af0188-f0df-4c8f-91d9-9570df9ae3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8e2a-a1b9-4d9a-a165-3f3152441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f0188-f0df-4c8f-91d9-9570df9ae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A134A-A8FF-40E1-AEE9-57E5403424E0}">
  <ds:schemaRefs>
    <ds:schemaRef ds:uri="http://purl.org/dc/terms/"/>
    <ds:schemaRef ds:uri="http://schemas.microsoft.com/office/2006/documentManagement/types"/>
    <ds:schemaRef ds:uri="e1af0188-f0df-4c8f-91d9-9570df9ae30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4608e2a-a1b9-4d9a-a165-3f31524418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F21F59-0682-4568-AA0F-E6F4E8659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94A0C-34CB-4FFF-B6F7-798BF21D85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08e2a-a1b9-4d9a-a165-3f3152441886"/>
    <ds:schemaRef ds:uri="e1af0188-f0df-4c8f-91d9-9570df9ae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Shared Connections Working Group Terms of Reference</dc:title>
  <dc:subject>
  </dc:subject>
  <dc:creator>Sue David</dc:creator>
  <cp:keywords>
  </cp:keywords>
  <dc:description>
  </dc:description>
  <cp:lastModifiedBy>Molly Raymer</cp:lastModifiedBy>
  <cp:revision>2</cp:revision>
  <dcterms:created xsi:type="dcterms:W3CDTF">2022-10-13T11:39:00Z</dcterms:created>
  <dcterms:modified xsi:type="dcterms:W3CDTF">2022-10-13T11:40:21Z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0x01010006B3EEEE9591F4479B17D4E1D58D4842</vt:lpwstr>
  </property>
  <property fmtid="{D5CDD505-2E9C-101B-9397-08002B2CF9AE}" pid="3" name="MediaServiceImageTags">
    <vt:lpwstr/>
  </property>
</Properties>
</file>