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D1" w:rsidP="002B45D7" w:rsidRDefault="00C77E6E">
      <w:pPr>
        <w:pStyle w:val="Heading1"/>
        <w:ind w:left="0" w:right="818"/>
        <w:jc w:val="center"/>
        <w:rPr>
          <w:rFonts w:ascii="Calibri" w:hAnsi="Calibri"/>
          <w:color w:val="2E74B5"/>
          <w:sz w:val="48"/>
        </w:rPr>
      </w:pPr>
      <w:r w:rsidRPr="003C651F">
        <w:rPr>
          <w:noProof/>
          <w:color w:val="244061" w:themeColor="accent1" w:themeShade="80"/>
          <w:lang w:bidi="ar-SA"/>
        </w:rPr>
        <w:drawing>
          <wp:anchor distT="0" distB="0" distL="0" distR="0" simplePos="0" relativeHeight="251657728" behindDoc="0" locked="0" layoutInCell="1" allowOverlap="1">
            <wp:simplePos x="0" y="0"/>
            <wp:positionH relativeFrom="page">
              <wp:posOffset>4768215</wp:posOffset>
            </wp:positionH>
            <wp:positionV relativeFrom="paragraph">
              <wp:posOffset>246581</wp:posOffset>
            </wp:positionV>
            <wp:extent cx="2145046" cy="1011554"/>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145046" cy="1011554"/>
                    </a:xfrm>
                    <a:prstGeom prst="rect">
                      <a:avLst/>
                    </a:prstGeom>
                  </pic:spPr>
                </pic:pic>
              </a:graphicData>
            </a:graphic>
          </wp:anchor>
        </w:drawing>
      </w:r>
      <w:bookmarkStart w:name="_GoBack" w:id="0"/>
      <w:bookmarkEnd w:id="0"/>
    </w:p>
    <w:p w:rsidR="00690AD1" w:rsidP="00690AD1" w:rsidRDefault="00690AD1">
      <w:pPr>
        <w:spacing w:before="190"/>
        <w:ind w:right="817"/>
        <w:jc w:val="center"/>
        <w:rPr>
          <w:rFonts w:ascii="Calibri" w:hAnsi="Calibri"/>
          <w:color w:val="2E74B5"/>
          <w:sz w:val="48"/>
        </w:rPr>
      </w:pPr>
    </w:p>
    <w:p w:rsidR="00690AD1" w:rsidP="00690AD1" w:rsidRDefault="00690AD1">
      <w:pPr>
        <w:spacing w:before="190"/>
        <w:ind w:right="817"/>
        <w:jc w:val="center"/>
        <w:rPr>
          <w:rFonts w:ascii="Calibri" w:hAnsi="Calibri"/>
          <w:color w:val="2E74B5"/>
          <w:sz w:val="48"/>
        </w:rPr>
      </w:pPr>
    </w:p>
    <w:p w:rsidR="003C651F" w:rsidP="00690AD1" w:rsidRDefault="003C651F">
      <w:pPr>
        <w:spacing w:before="190"/>
        <w:ind w:right="817"/>
        <w:jc w:val="center"/>
        <w:rPr>
          <w:rFonts w:ascii="Calibri" w:hAnsi="Calibri"/>
          <w:color w:val="2E74B5"/>
          <w:sz w:val="48"/>
        </w:rPr>
      </w:pPr>
    </w:p>
    <w:p w:rsidR="003C651F" w:rsidP="00690AD1" w:rsidRDefault="003C651F">
      <w:pPr>
        <w:spacing w:before="190"/>
        <w:ind w:right="817"/>
        <w:jc w:val="center"/>
        <w:rPr>
          <w:rFonts w:ascii="Calibri" w:hAnsi="Calibri"/>
          <w:color w:val="2E74B5"/>
          <w:sz w:val="48"/>
        </w:rPr>
      </w:pPr>
    </w:p>
    <w:p w:rsidRPr="003C651F" w:rsidR="004C5BB1" w:rsidP="00690AD1" w:rsidRDefault="00C77E6E">
      <w:pPr>
        <w:spacing w:before="190"/>
        <w:ind w:right="817"/>
        <w:jc w:val="center"/>
        <w:rPr>
          <w:b/>
          <w:color w:val="244061" w:themeColor="accent1" w:themeShade="80"/>
          <w:sz w:val="48"/>
        </w:rPr>
      </w:pPr>
      <w:r w:rsidRPr="003C651F">
        <w:rPr>
          <w:b/>
          <w:color w:val="244061" w:themeColor="accent1" w:themeShade="80"/>
          <w:sz w:val="48"/>
        </w:rPr>
        <w:t>St George’s, University of</w:t>
      </w:r>
      <w:r w:rsidRPr="003C651F">
        <w:rPr>
          <w:b/>
          <w:color w:val="244061" w:themeColor="accent1" w:themeShade="80"/>
          <w:spacing w:val="-15"/>
          <w:sz w:val="48"/>
        </w:rPr>
        <w:t xml:space="preserve"> </w:t>
      </w:r>
      <w:r w:rsidRPr="003C651F">
        <w:rPr>
          <w:b/>
          <w:color w:val="244061" w:themeColor="accent1" w:themeShade="80"/>
          <w:sz w:val="48"/>
        </w:rPr>
        <w:t>London</w:t>
      </w:r>
    </w:p>
    <w:p w:rsidRPr="003C651F" w:rsidR="004C5BB1" w:rsidP="00690AD1" w:rsidRDefault="004C5BB1">
      <w:pPr>
        <w:pStyle w:val="BodyText"/>
        <w:spacing w:before="11"/>
        <w:jc w:val="center"/>
        <w:rPr>
          <w:b/>
          <w:color w:val="244061" w:themeColor="accent1" w:themeShade="80"/>
          <w:sz w:val="47"/>
        </w:rPr>
      </w:pPr>
    </w:p>
    <w:p w:rsidRPr="003C651F" w:rsidR="004C5BB1" w:rsidP="00690AD1" w:rsidRDefault="00690AD1">
      <w:pPr>
        <w:spacing w:before="1" w:line="586" w:lineRule="exact"/>
        <w:ind w:right="818"/>
        <w:jc w:val="center"/>
        <w:rPr>
          <w:b/>
          <w:color w:val="244061" w:themeColor="accent1" w:themeShade="80"/>
          <w:sz w:val="48"/>
        </w:rPr>
      </w:pPr>
      <w:r w:rsidRPr="003C651F">
        <w:rPr>
          <w:b/>
          <w:color w:val="244061" w:themeColor="accent1" w:themeShade="80"/>
          <w:sz w:val="48"/>
        </w:rPr>
        <w:t xml:space="preserve">Public and Civic Engagement Strategy </w:t>
      </w:r>
      <w:r w:rsidR="003C651F">
        <w:rPr>
          <w:b/>
          <w:color w:val="244061" w:themeColor="accent1" w:themeShade="80"/>
          <w:sz w:val="48"/>
        </w:rPr>
        <w:t>(</w:t>
      </w:r>
      <w:r w:rsidRPr="003C651F">
        <w:rPr>
          <w:b/>
          <w:color w:val="244061" w:themeColor="accent1" w:themeShade="80"/>
          <w:sz w:val="48"/>
        </w:rPr>
        <w:t>2020-2024</w:t>
      </w:r>
      <w:r w:rsidR="003C651F">
        <w:rPr>
          <w:b/>
          <w:color w:val="244061" w:themeColor="accent1" w:themeShade="80"/>
          <w:sz w:val="48"/>
        </w:rPr>
        <w:t>)</w:t>
      </w:r>
    </w:p>
    <w:p w:rsidRPr="003C651F" w:rsidR="004C5BB1" w:rsidRDefault="004C5BB1">
      <w:pPr>
        <w:jc w:val="right"/>
        <w:rPr>
          <w:b/>
          <w:color w:val="244061" w:themeColor="accent1" w:themeShade="80"/>
          <w:sz w:val="48"/>
        </w:rPr>
        <w:sectPr w:rsidRPr="003C651F" w:rsidR="004C5BB1">
          <w:headerReference w:type="default" r:id="rId8"/>
          <w:footerReference w:type="default" r:id="rId9"/>
          <w:pgSz w:w="12240" w:h="15840"/>
          <w:pgMar w:top="1340" w:right="620" w:bottom="940" w:left="760" w:header="691" w:footer="751" w:gutter="0"/>
          <w:cols w:space="720"/>
        </w:sectPr>
      </w:pPr>
    </w:p>
    <w:p w:rsidRPr="00690AD1" w:rsidR="00690AD1" w:rsidP="00690AD1" w:rsidRDefault="00690AD1">
      <w:pPr>
        <w:rPr>
          <w:b/>
          <w:color w:val="244061" w:themeColor="accent1" w:themeShade="80"/>
          <w:sz w:val="28"/>
          <w:szCs w:val="28"/>
        </w:rPr>
      </w:pPr>
      <w:r w:rsidRPr="00690AD1">
        <w:rPr>
          <w:b/>
          <w:color w:val="244061" w:themeColor="accent1" w:themeShade="80"/>
          <w:sz w:val="28"/>
          <w:szCs w:val="28"/>
        </w:rPr>
        <w:lastRenderedPageBreak/>
        <w:t>Public and Civic Engagement: Our Vision</w:t>
      </w:r>
    </w:p>
    <w:p w:rsidR="00690AD1" w:rsidP="00690AD1" w:rsidRDefault="00690AD1">
      <w:pPr>
        <w:rPr>
          <w:sz w:val="24"/>
          <w:szCs w:val="24"/>
        </w:rPr>
      </w:pPr>
    </w:p>
    <w:p w:rsidRPr="00690AD1" w:rsidR="00690AD1" w:rsidP="00690AD1" w:rsidRDefault="00690AD1">
      <w:r w:rsidRPr="00690AD1">
        <w:t xml:space="preserve">At St George’s we are committed to improving human health and to making our research, scholarship and practice come to life in the world, engaging diverse groups of people. </w:t>
      </w:r>
    </w:p>
    <w:p w:rsidR="00690AD1" w:rsidP="00690AD1" w:rsidRDefault="00690AD1"/>
    <w:p w:rsidRPr="00690AD1" w:rsidR="00690AD1" w:rsidP="00690AD1" w:rsidRDefault="00690AD1">
      <w:r w:rsidRPr="00690AD1">
        <w:t xml:space="preserve">Our approach is based on dialogue and partnership, fostering engagement between the University and the public at all stages of academic work, from design to delivery and evaluation. </w:t>
      </w:r>
    </w:p>
    <w:p w:rsidR="00690AD1" w:rsidP="00690AD1" w:rsidRDefault="00690AD1"/>
    <w:p w:rsidRPr="00690AD1" w:rsidR="00690AD1" w:rsidP="00690AD1" w:rsidRDefault="00690AD1">
      <w:r w:rsidRPr="00690AD1">
        <w:t xml:space="preserve">We will create a sustainable culture where everyone within the University has the opportunity and support to do public engagement that is grounded in our research, education and practice strengths. </w:t>
      </w:r>
    </w:p>
    <w:p w:rsidR="00690AD1" w:rsidP="00690AD1" w:rsidRDefault="00690AD1"/>
    <w:p w:rsidRPr="00690AD1" w:rsidR="00690AD1" w:rsidP="00690AD1" w:rsidRDefault="00690AD1">
      <w:r w:rsidRPr="00690AD1">
        <w:t>Our public and civic engagement will be original, effective, responsive and inclusive.</w:t>
      </w:r>
    </w:p>
    <w:p w:rsidR="00690AD1" w:rsidP="00690AD1" w:rsidRDefault="00690AD1">
      <w:pPr>
        <w:rPr>
          <w:b/>
          <w:color w:val="244061" w:themeColor="accent1" w:themeShade="80"/>
          <w:sz w:val="28"/>
          <w:szCs w:val="28"/>
        </w:rPr>
      </w:pPr>
    </w:p>
    <w:p w:rsidRPr="00690AD1" w:rsidR="00690AD1" w:rsidP="00690AD1" w:rsidRDefault="00690AD1">
      <w:pPr>
        <w:rPr>
          <w:b/>
          <w:color w:val="244061" w:themeColor="accent1" w:themeShade="80"/>
          <w:sz w:val="28"/>
          <w:szCs w:val="28"/>
        </w:rPr>
      </w:pPr>
      <w:r w:rsidRPr="00690AD1">
        <w:rPr>
          <w:b/>
          <w:color w:val="244061" w:themeColor="accent1" w:themeShade="80"/>
          <w:sz w:val="28"/>
          <w:szCs w:val="28"/>
        </w:rPr>
        <w:t xml:space="preserve">What is Public and Civic Engagement? </w:t>
      </w:r>
    </w:p>
    <w:p w:rsidR="00690AD1" w:rsidP="00690AD1" w:rsidRDefault="00690AD1">
      <w:pPr>
        <w:rPr>
          <w:sz w:val="24"/>
          <w:szCs w:val="24"/>
        </w:rPr>
      </w:pPr>
    </w:p>
    <w:p w:rsidRPr="00690AD1" w:rsidR="00690AD1" w:rsidP="00690AD1" w:rsidRDefault="00690AD1">
      <w:r w:rsidRPr="00690AD1">
        <w:t xml:space="preserve">We have drawn on the National Co-ordinating Centre for Public Engagement (NCCPE) definition of public engagement in developing what public and civic engagement means at St George’s, University of London. The NCCPE describes engagement as: </w:t>
      </w:r>
    </w:p>
    <w:p w:rsidRPr="00690AD1" w:rsidR="00690AD1" w:rsidP="00690AD1" w:rsidRDefault="00690AD1"/>
    <w:p w:rsidRPr="00690AD1" w:rsidR="00690AD1" w:rsidP="00690AD1" w:rsidRDefault="00690AD1">
      <w:pPr>
        <w:jc w:val="center"/>
      </w:pPr>
      <w:r w:rsidRPr="00690AD1">
        <w:t>"</w:t>
      </w:r>
      <w:r w:rsidRPr="00690AD1">
        <w:rPr>
          <w:i/>
        </w:rPr>
        <w:t>the myriad ways in which the activity and benefits of higher education and research can be shared with the public. Engagement is by definition a two-way process, involving interaction and listening, with the goal of generating mutual benefit.</w:t>
      </w:r>
      <w:r w:rsidRPr="00690AD1">
        <w:t>"</w:t>
      </w:r>
    </w:p>
    <w:p w:rsidRPr="00690AD1" w:rsidR="00690AD1" w:rsidP="00690AD1" w:rsidRDefault="00690AD1"/>
    <w:p w:rsidRPr="00690AD1" w:rsidR="00690AD1" w:rsidP="00690AD1" w:rsidRDefault="00690AD1">
      <w:pPr>
        <w:rPr>
          <w:shd w:val="clear" w:color="auto" w:fill="F5F5F5"/>
        </w:rPr>
      </w:pPr>
      <w:r w:rsidRPr="00690AD1">
        <w:t>Public engagement at St George’s reflects the spectrum of public engagement activities: to inform, to involve, to consult and/or to collaborate with the aim of enabling</w:t>
      </w:r>
      <w:r w:rsidRPr="00690AD1">
        <w:rPr>
          <w:shd w:val="clear" w:color="auto" w:fill="F5F5F5"/>
        </w:rPr>
        <w:t xml:space="preserve"> the widest possible range of audiences to engage with the University’s work locally, nationally and globally.</w:t>
      </w:r>
    </w:p>
    <w:p w:rsidRPr="00690AD1" w:rsidR="00690AD1" w:rsidP="00690AD1" w:rsidRDefault="00690AD1">
      <w:pPr>
        <w:rPr>
          <w:b/>
          <w:color w:val="244061" w:themeColor="accent1" w:themeShade="80"/>
          <w:shd w:val="clear" w:color="auto" w:fill="F5F5F5"/>
        </w:rPr>
      </w:pPr>
    </w:p>
    <w:p w:rsidRPr="00690AD1" w:rsidR="00690AD1" w:rsidP="00690AD1" w:rsidRDefault="00690AD1">
      <w:pPr>
        <w:rPr>
          <w:b/>
          <w:color w:val="244061" w:themeColor="accent1" w:themeShade="80"/>
          <w:sz w:val="28"/>
          <w:szCs w:val="28"/>
          <w:shd w:val="clear" w:color="auto" w:fill="F5F5F5"/>
        </w:rPr>
      </w:pPr>
      <w:r w:rsidRPr="00690AD1">
        <w:rPr>
          <w:b/>
          <w:color w:val="244061" w:themeColor="accent1" w:themeShade="80"/>
          <w:sz w:val="28"/>
          <w:szCs w:val="28"/>
          <w:shd w:val="clear" w:color="auto" w:fill="F5F5F5"/>
        </w:rPr>
        <w:t>Who is the Public?</w:t>
      </w:r>
    </w:p>
    <w:p w:rsidR="00690AD1" w:rsidP="00690AD1" w:rsidRDefault="00690AD1">
      <w:pPr>
        <w:rPr>
          <w:sz w:val="24"/>
          <w:szCs w:val="24"/>
        </w:rPr>
      </w:pPr>
    </w:p>
    <w:p w:rsidR="00690AD1" w:rsidP="00690AD1" w:rsidRDefault="00690AD1">
      <w:r w:rsidRPr="00690AD1">
        <w:t xml:space="preserve">We interact with a wide range of people, groups and organisations. We value the diversity of our relationships and we take an inclusive approach to defining ‘the public’ for the purposes of our engagement work. </w:t>
      </w:r>
    </w:p>
    <w:p w:rsidR="00690AD1" w:rsidP="00690AD1" w:rsidRDefault="00690AD1"/>
    <w:p w:rsidRPr="00690AD1" w:rsidR="00690AD1" w:rsidP="00690AD1" w:rsidRDefault="00690AD1">
      <w:r w:rsidRPr="00690AD1">
        <w:t>The public includes, but is not limited to:</w:t>
      </w:r>
    </w:p>
    <w:p w:rsidRPr="00690AD1" w:rsidR="00690AD1" w:rsidP="00690AD1" w:rsidRDefault="00690AD1"/>
    <w:p w:rsidRPr="00690AD1" w:rsidR="00690AD1" w:rsidP="00690AD1" w:rsidRDefault="00690AD1">
      <w:pPr>
        <w:pStyle w:val="ListParagraph"/>
        <w:widowControl/>
        <w:numPr>
          <w:ilvl w:val="0"/>
          <w:numId w:val="5"/>
        </w:numPr>
        <w:autoSpaceDE/>
        <w:autoSpaceDN/>
        <w:spacing w:after="160" w:line="259" w:lineRule="auto"/>
        <w:contextualSpacing/>
      </w:pPr>
      <w:r w:rsidRPr="00690AD1">
        <w:t>Patients</w:t>
      </w:r>
    </w:p>
    <w:p w:rsidRPr="00690AD1" w:rsidR="00690AD1" w:rsidP="00690AD1" w:rsidRDefault="00690AD1">
      <w:pPr>
        <w:pStyle w:val="ListParagraph"/>
        <w:widowControl/>
        <w:numPr>
          <w:ilvl w:val="0"/>
          <w:numId w:val="5"/>
        </w:numPr>
        <w:autoSpaceDE/>
        <w:autoSpaceDN/>
        <w:spacing w:after="160" w:line="259" w:lineRule="auto"/>
        <w:contextualSpacing/>
      </w:pPr>
      <w:r w:rsidRPr="00690AD1">
        <w:t>Local residents and our neighbours</w:t>
      </w:r>
    </w:p>
    <w:p w:rsidRPr="00690AD1" w:rsidR="00690AD1" w:rsidP="00690AD1" w:rsidRDefault="00690AD1">
      <w:pPr>
        <w:pStyle w:val="ListParagraph"/>
        <w:widowControl/>
        <w:numPr>
          <w:ilvl w:val="0"/>
          <w:numId w:val="5"/>
        </w:numPr>
        <w:autoSpaceDE/>
        <w:autoSpaceDN/>
        <w:spacing w:after="160" w:line="259" w:lineRule="auto"/>
        <w:contextualSpacing/>
      </w:pPr>
      <w:r w:rsidRPr="00690AD1">
        <w:t>Community groups</w:t>
      </w:r>
    </w:p>
    <w:p w:rsidRPr="00690AD1" w:rsidR="00690AD1" w:rsidP="00690AD1" w:rsidRDefault="00690AD1">
      <w:pPr>
        <w:pStyle w:val="ListParagraph"/>
        <w:widowControl/>
        <w:numPr>
          <w:ilvl w:val="0"/>
          <w:numId w:val="5"/>
        </w:numPr>
        <w:autoSpaceDE/>
        <w:autoSpaceDN/>
        <w:spacing w:after="160" w:line="259" w:lineRule="auto"/>
        <w:contextualSpacing/>
      </w:pPr>
      <w:r w:rsidRPr="00690AD1">
        <w:t>Schools</w:t>
      </w:r>
    </w:p>
    <w:p w:rsidRPr="00690AD1" w:rsidR="00690AD1" w:rsidP="00690AD1" w:rsidRDefault="00690AD1">
      <w:pPr>
        <w:pStyle w:val="ListParagraph"/>
        <w:widowControl/>
        <w:numPr>
          <w:ilvl w:val="0"/>
          <w:numId w:val="5"/>
        </w:numPr>
        <w:autoSpaceDE/>
        <w:autoSpaceDN/>
        <w:spacing w:after="160" w:line="259" w:lineRule="auto"/>
        <w:contextualSpacing/>
      </w:pPr>
      <w:r w:rsidRPr="00690AD1">
        <w:t>Charities</w:t>
      </w:r>
    </w:p>
    <w:p w:rsidRPr="00690AD1" w:rsidR="00690AD1" w:rsidP="00690AD1" w:rsidRDefault="00690AD1">
      <w:pPr>
        <w:pStyle w:val="ListParagraph"/>
        <w:widowControl/>
        <w:numPr>
          <w:ilvl w:val="0"/>
          <w:numId w:val="5"/>
        </w:numPr>
        <w:autoSpaceDE/>
        <w:autoSpaceDN/>
        <w:spacing w:after="160" w:line="259" w:lineRule="auto"/>
        <w:contextualSpacing/>
      </w:pPr>
      <w:r w:rsidRPr="00690AD1">
        <w:t xml:space="preserve">Local partners </w:t>
      </w:r>
    </w:p>
    <w:p w:rsidRPr="00690AD1" w:rsidR="00690AD1" w:rsidP="00690AD1" w:rsidRDefault="00690AD1">
      <w:pPr>
        <w:pStyle w:val="ListParagraph"/>
        <w:widowControl/>
        <w:numPr>
          <w:ilvl w:val="0"/>
          <w:numId w:val="5"/>
        </w:numPr>
        <w:autoSpaceDE/>
        <w:autoSpaceDN/>
        <w:spacing w:after="160" w:line="259" w:lineRule="auto"/>
        <w:contextualSpacing/>
      </w:pPr>
      <w:r w:rsidRPr="00690AD1">
        <w:t>Communities served by, or participating in, existing research both in the UK and internationally</w:t>
      </w:r>
    </w:p>
    <w:p w:rsidRPr="00690AD1" w:rsidR="00690AD1" w:rsidP="00690AD1" w:rsidRDefault="00690AD1">
      <w:pPr>
        <w:pStyle w:val="ListParagraph"/>
        <w:widowControl/>
        <w:numPr>
          <w:ilvl w:val="0"/>
          <w:numId w:val="5"/>
        </w:numPr>
        <w:autoSpaceDE/>
        <w:autoSpaceDN/>
        <w:spacing w:after="160" w:line="259" w:lineRule="auto"/>
        <w:contextualSpacing/>
      </w:pPr>
      <w:r w:rsidRPr="00690AD1">
        <w:t xml:space="preserve">National organisations </w:t>
      </w:r>
    </w:p>
    <w:p w:rsidRPr="00690AD1" w:rsidR="00690AD1" w:rsidP="00690AD1" w:rsidRDefault="00690AD1">
      <w:pPr>
        <w:pStyle w:val="ListParagraph"/>
        <w:widowControl/>
        <w:numPr>
          <w:ilvl w:val="0"/>
          <w:numId w:val="5"/>
        </w:numPr>
        <w:autoSpaceDE/>
        <w:autoSpaceDN/>
        <w:spacing w:after="160" w:line="259" w:lineRule="auto"/>
        <w:contextualSpacing/>
      </w:pPr>
      <w:r w:rsidRPr="00690AD1">
        <w:t xml:space="preserve">The media </w:t>
      </w:r>
    </w:p>
    <w:p w:rsidRPr="00690AD1" w:rsidR="00690AD1" w:rsidP="00690AD1" w:rsidRDefault="00690AD1">
      <w:pPr>
        <w:pStyle w:val="ListParagraph"/>
        <w:widowControl/>
        <w:numPr>
          <w:ilvl w:val="0"/>
          <w:numId w:val="5"/>
        </w:numPr>
        <w:autoSpaceDE/>
        <w:autoSpaceDN/>
        <w:spacing w:after="160" w:line="259" w:lineRule="auto"/>
        <w:contextualSpacing/>
      </w:pPr>
      <w:r w:rsidRPr="00690AD1">
        <w:t>Audiences attending ideas festivals, arts events, demonstrations and exhibitions</w:t>
      </w:r>
    </w:p>
    <w:p w:rsidR="00690AD1" w:rsidP="00690AD1" w:rsidRDefault="00690AD1">
      <w:pPr>
        <w:rPr>
          <w:b/>
          <w:color w:val="244061" w:themeColor="accent1" w:themeShade="80"/>
          <w:sz w:val="28"/>
          <w:szCs w:val="28"/>
          <w:shd w:val="clear" w:color="auto" w:fill="F5F5F5"/>
        </w:rPr>
      </w:pPr>
    </w:p>
    <w:p w:rsidR="00690AD1" w:rsidP="00690AD1" w:rsidRDefault="00690AD1">
      <w:pPr>
        <w:rPr>
          <w:b/>
          <w:color w:val="244061" w:themeColor="accent1" w:themeShade="80"/>
          <w:sz w:val="28"/>
          <w:szCs w:val="28"/>
          <w:shd w:val="clear" w:color="auto" w:fill="F5F5F5"/>
        </w:rPr>
      </w:pPr>
    </w:p>
    <w:p w:rsidR="00690AD1" w:rsidP="00690AD1" w:rsidRDefault="00690AD1">
      <w:pPr>
        <w:rPr>
          <w:b/>
          <w:color w:val="244061" w:themeColor="accent1" w:themeShade="80"/>
          <w:sz w:val="28"/>
          <w:szCs w:val="28"/>
          <w:shd w:val="clear" w:color="auto" w:fill="F5F5F5"/>
        </w:rPr>
      </w:pPr>
    </w:p>
    <w:p w:rsidRPr="00690AD1" w:rsidR="00690AD1" w:rsidP="00690AD1" w:rsidRDefault="00690AD1">
      <w:pPr>
        <w:rPr>
          <w:b/>
          <w:color w:val="244061" w:themeColor="accent1" w:themeShade="80"/>
          <w:sz w:val="28"/>
          <w:szCs w:val="28"/>
          <w:shd w:val="clear" w:color="auto" w:fill="F5F5F5"/>
        </w:rPr>
      </w:pPr>
      <w:r w:rsidRPr="00690AD1">
        <w:rPr>
          <w:b/>
          <w:color w:val="244061" w:themeColor="accent1" w:themeShade="80"/>
          <w:sz w:val="28"/>
          <w:szCs w:val="28"/>
          <w:shd w:val="clear" w:color="auto" w:fill="F5F5F5"/>
        </w:rPr>
        <w:t>Public and Civic Engagement at St George’s, University of London</w:t>
      </w:r>
    </w:p>
    <w:p w:rsidR="00690AD1" w:rsidP="00690AD1" w:rsidRDefault="00690AD1">
      <w:pPr>
        <w:rPr>
          <w:sz w:val="24"/>
          <w:szCs w:val="24"/>
          <w:shd w:val="clear" w:color="auto" w:fill="F5F5F5"/>
        </w:rPr>
      </w:pPr>
    </w:p>
    <w:p w:rsidRPr="00690AD1" w:rsidR="00690AD1" w:rsidP="00690AD1" w:rsidRDefault="00690AD1">
      <w:pPr>
        <w:rPr>
          <w:shd w:val="clear" w:color="auto" w:fill="F5F5F5"/>
        </w:rPr>
      </w:pPr>
      <w:r w:rsidRPr="00690AD1">
        <w:rPr>
          <w:noProof/>
          <w:shd w:val="clear" w:color="auto" w:fill="F5F5F5"/>
        </w:rPr>
        <w:drawing>
          <wp:anchor distT="0" distB="0" distL="114300" distR="114300" simplePos="0" relativeHeight="251659776" behindDoc="1" locked="0" layoutInCell="1" allowOverlap="1" wp14:editId="6DB74C1F" wp14:anchorId="17428364">
            <wp:simplePos x="0" y="0"/>
            <wp:positionH relativeFrom="margin">
              <wp:posOffset>266700</wp:posOffset>
            </wp:positionH>
            <wp:positionV relativeFrom="paragraph">
              <wp:posOffset>440690</wp:posOffset>
            </wp:positionV>
            <wp:extent cx="5476875" cy="5442585"/>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89" cy="5442599"/>
                    </a:xfrm>
                    <a:prstGeom prst="rect">
                      <a:avLst/>
                    </a:prstGeom>
                    <a:noFill/>
                  </pic:spPr>
                </pic:pic>
              </a:graphicData>
            </a:graphic>
            <wp14:sizeRelH relativeFrom="margin">
              <wp14:pctWidth>0</wp14:pctWidth>
            </wp14:sizeRelH>
            <wp14:sizeRelV relativeFrom="margin">
              <wp14:pctHeight>0</wp14:pctHeight>
            </wp14:sizeRelV>
          </wp:anchor>
        </w:drawing>
      </w:r>
      <w:r w:rsidRPr="00690AD1">
        <w:rPr>
          <w:shd w:val="clear" w:color="auto" w:fill="F5F5F5"/>
        </w:rPr>
        <w:t>Public and civic engagement at St George’s, University of London is organised into four intersecting themes:</w:t>
      </w: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00690AD1" w:rsidP="00690AD1" w:rsidRDefault="00690AD1">
      <w:pPr>
        <w:rPr>
          <w:sz w:val="24"/>
          <w:szCs w:val="24"/>
          <w:shd w:val="clear" w:color="auto" w:fill="F5F5F5"/>
        </w:rPr>
      </w:pPr>
    </w:p>
    <w:p w:rsidRPr="00690AD1" w:rsidR="00690AD1" w:rsidP="00690AD1" w:rsidRDefault="00690AD1">
      <w:pPr>
        <w:rPr>
          <w:shd w:val="clear" w:color="auto" w:fill="F5F5F5"/>
        </w:rPr>
      </w:pPr>
      <w:r w:rsidRPr="00690AD1">
        <w:rPr>
          <w:shd w:val="clear" w:color="auto" w:fill="F5F5F5"/>
        </w:rPr>
        <w:t xml:space="preserve">The four themes reflect the University’s strengths and portfolio of existing activities in public and civic engagement whilst allowing space for development and growth. The thematic structure is flexible, intended to provide a structure but not to limit or artificially segment effective public and civic engagement work at the University.  </w:t>
      </w:r>
    </w:p>
    <w:p w:rsidR="00690AD1" w:rsidP="00690AD1" w:rsidRDefault="00690AD1">
      <w:pPr>
        <w:rPr>
          <w:b/>
          <w:color w:val="244061" w:themeColor="accent1" w:themeShade="80"/>
          <w:sz w:val="28"/>
          <w:szCs w:val="28"/>
        </w:rPr>
      </w:pPr>
    </w:p>
    <w:p w:rsidRPr="005C18A7" w:rsidR="00690AD1" w:rsidP="00690AD1" w:rsidRDefault="00690AD1">
      <w:pPr>
        <w:rPr>
          <w:b/>
          <w:sz w:val="28"/>
          <w:szCs w:val="28"/>
        </w:rPr>
      </w:pPr>
      <w:r w:rsidRPr="00690AD1">
        <w:rPr>
          <w:b/>
          <w:color w:val="244061" w:themeColor="accent1" w:themeShade="80"/>
          <w:sz w:val="28"/>
          <w:szCs w:val="28"/>
        </w:rPr>
        <w:t>Public and Civic Engagement: Our Four Strategic Aims</w:t>
      </w:r>
    </w:p>
    <w:p w:rsidR="00690AD1" w:rsidP="00690AD1" w:rsidRDefault="00690AD1">
      <w:pPr>
        <w:rPr>
          <w:sz w:val="24"/>
          <w:szCs w:val="24"/>
        </w:rPr>
      </w:pPr>
    </w:p>
    <w:p w:rsidRPr="00690AD1" w:rsidR="00690AD1" w:rsidP="00690AD1" w:rsidRDefault="00690AD1">
      <w:r w:rsidRPr="00690AD1">
        <w:t>We have four strategic aims for public and civic engagement at St George’s, University of London, namely to:</w:t>
      </w:r>
    </w:p>
    <w:p w:rsidRPr="00690AD1" w:rsidR="00690AD1" w:rsidP="00690AD1" w:rsidRDefault="00690AD1"/>
    <w:p w:rsidR="00690AD1" w:rsidP="00690AD1" w:rsidRDefault="00690AD1">
      <w:r w:rsidRPr="00690AD1">
        <w:t>1. Build and embed a culture of public and civic engagement based on our four themes at St George’s, University of London;</w:t>
      </w:r>
    </w:p>
    <w:p w:rsidRPr="00690AD1" w:rsidR="00690AD1" w:rsidP="00690AD1" w:rsidRDefault="00690AD1"/>
    <w:p w:rsidR="00690AD1" w:rsidP="00690AD1" w:rsidRDefault="00690AD1">
      <w:r w:rsidRPr="00690AD1">
        <w:lastRenderedPageBreak/>
        <w:t>2. Nurture existing partnerships and develop new relationships to facilitate novel public and civic engagement activities;</w:t>
      </w:r>
    </w:p>
    <w:p w:rsidRPr="00690AD1" w:rsidR="003C651F" w:rsidP="00690AD1" w:rsidRDefault="003C651F"/>
    <w:p w:rsidR="00690AD1" w:rsidP="00690AD1" w:rsidRDefault="00690AD1">
      <w:r w:rsidRPr="00690AD1">
        <w:t>3. Provide support and a structured programme of development for any member of the University community who wishes to develop their interest and skills in public and civic engagement and</w:t>
      </w:r>
    </w:p>
    <w:p w:rsidRPr="00690AD1" w:rsidR="00690AD1" w:rsidP="00690AD1" w:rsidRDefault="00690AD1"/>
    <w:p w:rsidR="00690AD1" w:rsidP="00690AD1" w:rsidRDefault="00690AD1">
      <w:r w:rsidRPr="00690AD1">
        <w:t>4. Achieve external recognition, funding and a national reputation for original, effective, responsive and inclusive public and civic engagement work in bioscience, health and medicine.</w:t>
      </w:r>
    </w:p>
    <w:p w:rsidRPr="00690AD1" w:rsidR="00690AD1" w:rsidP="00690AD1" w:rsidRDefault="00690AD1"/>
    <w:p w:rsidR="00690AD1" w:rsidP="00690AD1" w:rsidRDefault="00690AD1">
      <w:pPr>
        <w:rPr>
          <w:b/>
          <w:color w:val="244061" w:themeColor="accent1" w:themeShade="80"/>
          <w:sz w:val="28"/>
          <w:szCs w:val="28"/>
        </w:rPr>
      </w:pPr>
      <w:r w:rsidRPr="00690AD1">
        <w:rPr>
          <w:b/>
          <w:color w:val="244061" w:themeColor="accent1" w:themeShade="80"/>
          <w:sz w:val="28"/>
          <w:szCs w:val="28"/>
        </w:rPr>
        <w:t>Achieving our Aims</w:t>
      </w:r>
    </w:p>
    <w:p w:rsidR="00690AD1" w:rsidP="00690AD1" w:rsidRDefault="00690AD1">
      <w:pPr>
        <w:rPr>
          <w:b/>
          <w:color w:val="244061" w:themeColor="accent1" w:themeShade="80"/>
          <w:sz w:val="28"/>
          <w:szCs w:val="28"/>
        </w:rPr>
      </w:pPr>
    </w:p>
    <w:p w:rsidRPr="003C651F" w:rsidR="00690AD1" w:rsidP="00690AD1" w:rsidRDefault="00690AD1">
      <w:r w:rsidRPr="003C651F">
        <w:t xml:space="preserve">To achieve our aims, we will undertake specific actions within the period of the strategy. </w:t>
      </w:r>
      <w:r w:rsidRPr="003C651F" w:rsidR="003C651F">
        <w:t xml:space="preserve">The actions speak both to what we will do and how we will do it, recognising that the way in which public and civic engagement work is conducted is as significant as what is achieved. Our actions will reflect the underpinning values of inclusion, co-creation and responsiveness. </w:t>
      </w:r>
      <w:r w:rsidRPr="003C651F">
        <w:t xml:space="preserve">Many </w:t>
      </w:r>
      <w:r w:rsidRPr="003C651F" w:rsidR="003C651F">
        <w:t>of the actions are already underway, others are planned for development during the period of the strategy. All actions will be regularly reviewed by the working group reporting annually to Executive Board and, as required, to Council.</w:t>
      </w:r>
    </w:p>
    <w:p w:rsidRPr="00690AD1" w:rsidR="003C651F" w:rsidP="00690AD1" w:rsidRDefault="003C651F">
      <w:pPr>
        <w:rPr>
          <w:b/>
          <w:color w:val="244061" w:themeColor="accent1" w:themeShade="80"/>
          <w:sz w:val="28"/>
          <w:szCs w:val="28"/>
        </w:rPr>
      </w:pPr>
    </w:p>
    <w:tbl>
      <w:tblPr>
        <w:tblW w:w="9720" w:type="dxa"/>
        <w:tblInd w:w="-50" w:type="dxa"/>
        <w:tblBorders>
          <w:top w:val="thinThickSmallGap" w:color="244061" w:themeColor="accent1" w:themeShade="80" w:sz="24" w:space="0"/>
          <w:left w:val="thinThickSmallGap" w:color="244061" w:themeColor="accent1" w:themeShade="80" w:sz="24" w:space="0"/>
          <w:bottom w:val="thinThickSmallGap" w:color="244061" w:themeColor="accent1" w:themeShade="80" w:sz="24" w:space="0"/>
          <w:right w:val="thinThickSmallGap" w:color="244061" w:themeColor="accent1" w:themeShade="80" w:sz="24" w:space="0"/>
          <w:insideH w:val="thinThickSmallGap" w:color="244061" w:themeColor="accent1" w:themeShade="80" w:sz="24" w:space="0"/>
          <w:insideV w:val="thinThickSmallGap" w:color="244061" w:themeColor="accent1" w:themeShade="80" w:sz="24" w:space="0"/>
        </w:tblBorders>
        <w:tblLook w:val="0000" w:firstRow="0" w:lastRow="0" w:firstColumn="0" w:lastColumn="0" w:noHBand="0" w:noVBand="0"/>
      </w:tblPr>
      <w:tblGrid>
        <w:gridCol w:w="9720"/>
      </w:tblGrid>
      <w:tr w:rsidRPr="00690AD1" w:rsidR="00690AD1" w:rsidTr="00690AD1">
        <w:trPr>
          <w:trHeight w:val="1266"/>
        </w:trPr>
        <w:tc>
          <w:tcPr>
            <w:tcW w:w="9720" w:type="dxa"/>
          </w:tcPr>
          <w:p w:rsidR="00690AD1" w:rsidP="00441095" w:rsidRDefault="00690AD1">
            <w:pPr>
              <w:ind w:left="45"/>
              <w:rPr>
                <w:i/>
              </w:rPr>
            </w:pPr>
          </w:p>
          <w:p w:rsidR="00690AD1" w:rsidP="00441095" w:rsidRDefault="00690AD1">
            <w:pPr>
              <w:ind w:left="45"/>
              <w:rPr>
                <w:i/>
              </w:rPr>
            </w:pPr>
            <w:r w:rsidRPr="00690AD1">
              <w:rPr>
                <w:i/>
              </w:rPr>
              <w:t>To build and embed a culture of public and civic engagement based on our four themes at St George’s, University of London, we will:</w:t>
            </w:r>
          </w:p>
          <w:p w:rsidRPr="00690AD1" w:rsidR="00690AD1" w:rsidP="00441095" w:rsidRDefault="00690AD1">
            <w:pPr>
              <w:ind w:left="45"/>
              <w:rPr>
                <w:i/>
              </w:rPr>
            </w:pPr>
          </w:p>
          <w:p w:rsidRPr="00690AD1" w:rsidR="00690AD1" w:rsidP="00690AD1" w:rsidRDefault="00690AD1">
            <w:pPr>
              <w:pStyle w:val="ListParagraph"/>
              <w:widowControl/>
              <w:numPr>
                <w:ilvl w:val="0"/>
                <w:numId w:val="6"/>
              </w:numPr>
              <w:autoSpaceDE/>
              <w:autoSpaceDN/>
              <w:spacing w:after="160" w:line="259" w:lineRule="auto"/>
              <w:ind w:left="765"/>
              <w:contextualSpacing/>
            </w:pPr>
            <w:r w:rsidRPr="00690AD1">
              <w:t>Appoint an Associate Dean (Public and Civic Engagement) and a Public Engagement Officer;</w:t>
            </w:r>
          </w:p>
          <w:p w:rsidRPr="00690AD1" w:rsidR="00690AD1" w:rsidP="00690AD1" w:rsidRDefault="00690AD1">
            <w:pPr>
              <w:pStyle w:val="ListParagraph"/>
              <w:widowControl/>
              <w:numPr>
                <w:ilvl w:val="0"/>
                <w:numId w:val="6"/>
              </w:numPr>
              <w:autoSpaceDE/>
              <w:autoSpaceDN/>
              <w:spacing w:after="160" w:line="259" w:lineRule="auto"/>
              <w:ind w:left="765"/>
              <w:contextualSpacing/>
            </w:pPr>
            <w:r w:rsidRPr="00690AD1">
              <w:t>Create a community, working with the public engagement officer, Associate Dean (Public and Civic Engagement) and leaders across the University, that inspires others to embed public engagement in their work;</w:t>
            </w:r>
          </w:p>
          <w:p w:rsidRPr="00690AD1" w:rsidR="00690AD1" w:rsidP="00690AD1" w:rsidRDefault="00690AD1">
            <w:pPr>
              <w:pStyle w:val="ListParagraph"/>
              <w:widowControl/>
              <w:numPr>
                <w:ilvl w:val="0"/>
                <w:numId w:val="6"/>
              </w:numPr>
              <w:autoSpaceDE/>
              <w:autoSpaceDN/>
              <w:spacing w:after="160" w:line="259" w:lineRule="auto"/>
              <w:ind w:left="765"/>
              <w:contextualSpacing/>
            </w:pPr>
            <w:r w:rsidRPr="00690AD1">
              <w:t>Provide effective and accountable leadership for public and civic engagement, including for each of the four themes, reporting via the Public Engagement Steering Group and University committee structure;</w:t>
            </w:r>
          </w:p>
          <w:p w:rsidRPr="00690AD1" w:rsidR="00690AD1" w:rsidP="00690AD1" w:rsidRDefault="00690AD1">
            <w:pPr>
              <w:pStyle w:val="ListParagraph"/>
              <w:widowControl/>
              <w:numPr>
                <w:ilvl w:val="0"/>
                <w:numId w:val="6"/>
              </w:numPr>
              <w:autoSpaceDE/>
              <w:autoSpaceDN/>
              <w:spacing w:after="160" w:line="259" w:lineRule="auto"/>
              <w:ind w:left="765"/>
              <w:contextualSpacing/>
            </w:pPr>
            <w:r w:rsidRPr="00690AD1">
              <w:t>Develop the St George’s public and civic engagement network and create a culture of sharing practice, activities, projects and ideas within the University and beyond;</w:t>
            </w:r>
          </w:p>
          <w:p w:rsidRPr="00690AD1" w:rsidR="00690AD1" w:rsidP="00690AD1" w:rsidRDefault="00690AD1">
            <w:pPr>
              <w:pStyle w:val="ListParagraph"/>
              <w:widowControl/>
              <w:numPr>
                <w:ilvl w:val="0"/>
                <w:numId w:val="6"/>
              </w:numPr>
              <w:autoSpaceDE/>
              <w:autoSpaceDN/>
              <w:spacing w:after="160" w:line="259" w:lineRule="auto"/>
              <w:ind w:left="765"/>
              <w:contextualSpacing/>
              <w:rPr>
                <w:i/>
              </w:rPr>
            </w:pPr>
            <w:r w:rsidRPr="00690AD1">
              <w:t>Develop the existing public and civic engagement group’s work to ensure a coherent and cross-institutional approach to governance, planning and implementation; and</w:t>
            </w:r>
          </w:p>
          <w:p w:rsidRPr="00690AD1" w:rsidR="00690AD1" w:rsidP="00690AD1" w:rsidRDefault="00690AD1">
            <w:pPr>
              <w:pStyle w:val="ListParagraph"/>
              <w:widowControl/>
              <w:numPr>
                <w:ilvl w:val="0"/>
                <w:numId w:val="6"/>
              </w:numPr>
              <w:autoSpaceDE/>
              <w:autoSpaceDN/>
              <w:spacing w:after="160" w:line="259" w:lineRule="auto"/>
              <w:ind w:left="765"/>
              <w:contextualSpacing/>
              <w:rPr>
                <w:i/>
              </w:rPr>
            </w:pPr>
            <w:r w:rsidRPr="00690AD1">
              <w:t>Strengthen reward and recognition of public engagement within institutional policies and procedures.</w:t>
            </w:r>
          </w:p>
        </w:tc>
      </w:tr>
    </w:tbl>
    <w:p w:rsidR="00690AD1" w:rsidP="00690AD1" w:rsidRDefault="00690AD1"/>
    <w:p w:rsidRPr="00690AD1" w:rsidR="00690AD1" w:rsidP="00690AD1" w:rsidRDefault="00690AD1"/>
    <w:tbl>
      <w:tblPr>
        <w:tblW w:w="9827" w:type="dxa"/>
        <w:tblInd w:w="-80" w:type="dxa"/>
        <w:tblBorders>
          <w:top w:val="thinThickSmallGap" w:color="244061" w:themeColor="accent1" w:themeShade="80" w:sz="24" w:space="0"/>
          <w:left w:val="thinThickSmallGap" w:color="244061" w:themeColor="accent1" w:themeShade="80" w:sz="24" w:space="0"/>
          <w:bottom w:val="thinThickSmallGap" w:color="244061" w:themeColor="accent1" w:themeShade="80" w:sz="24" w:space="0"/>
          <w:right w:val="thinThickSmallGap" w:color="244061" w:themeColor="accent1" w:themeShade="80" w:sz="24" w:space="0"/>
          <w:insideH w:val="thinThickSmallGap" w:color="244061" w:themeColor="accent1" w:themeShade="80" w:sz="24" w:space="0"/>
          <w:insideV w:val="thinThickSmallGap" w:color="244061" w:themeColor="accent1" w:themeShade="80" w:sz="24" w:space="0"/>
        </w:tblBorders>
        <w:tblLook w:val="0000" w:firstRow="0" w:lastRow="0" w:firstColumn="0" w:lastColumn="0" w:noHBand="0" w:noVBand="0"/>
      </w:tblPr>
      <w:tblGrid>
        <w:gridCol w:w="9827"/>
      </w:tblGrid>
      <w:tr w:rsidRPr="00690AD1" w:rsidR="00690AD1" w:rsidTr="00690AD1">
        <w:trPr>
          <w:trHeight w:val="3109"/>
        </w:trPr>
        <w:tc>
          <w:tcPr>
            <w:tcW w:w="9827" w:type="dxa"/>
          </w:tcPr>
          <w:p w:rsidR="00690AD1" w:rsidP="00441095" w:rsidRDefault="00690AD1">
            <w:pPr>
              <w:rPr>
                <w:i/>
              </w:rPr>
            </w:pPr>
          </w:p>
          <w:p w:rsidR="00690AD1" w:rsidP="00441095" w:rsidRDefault="00690AD1">
            <w:pPr>
              <w:rPr>
                <w:i/>
              </w:rPr>
            </w:pPr>
            <w:r w:rsidRPr="00690AD1">
              <w:rPr>
                <w:i/>
              </w:rPr>
              <w:t>To nurture existing partnerships and develop new relationships to facilitate novel public and civic engagement activities, we will:</w:t>
            </w:r>
          </w:p>
          <w:p w:rsidRPr="00690AD1" w:rsidR="00690AD1" w:rsidP="00441095" w:rsidRDefault="00690AD1">
            <w:pPr>
              <w:rPr>
                <w:i/>
              </w:rPr>
            </w:pPr>
          </w:p>
          <w:p w:rsidRPr="00690AD1" w:rsidR="00690AD1" w:rsidP="00690AD1" w:rsidRDefault="00690AD1">
            <w:pPr>
              <w:pStyle w:val="ListParagraph"/>
              <w:widowControl/>
              <w:numPr>
                <w:ilvl w:val="0"/>
                <w:numId w:val="6"/>
              </w:numPr>
              <w:autoSpaceDE/>
              <w:autoSpaceDN/>
              <w:spacing w:after="160" w:line="259" w:lineRule="auto"/>
              <w:ind w:left="840"/>
              <w:contextualSpacing/>
            </w:pPr>
            <w:r w:rsidRPr="00690AD1">
              <w:t xml:space="preserve">Maintain a dialogue with our existing partners, for example with HMP Wandsworth, Global public engagement projects, the </w:t>
            </w:r>
            <w:r w:rsidRPr="00690AD1">
              <w:rPr>
                <w:i/>
              </w:rPr>
              <w:t>Inside Science</w:t>
            </w:r>
            <w:r w:rsidRPr="00690AD1">
              <w:t xml:space="preserve"> audience, media outlets and our school contacts, to ensure that we maximise our impact, meet our strategic aims and allow space for further innovation;</w:t>
            </w:r>
          </w:p>
          <w:p w:rsidRPr="00690AD1" w:rsidR="00690AD1" w:rsidP="00690AD1" w:rsidRDefault="00690AD1">
            <w:pPr>
              <w:pStyle w:val="ListParagraph"/>
              <w:widowControl/>
              <w:numPr>
                <w:ilvl w:val="0"/>
                <w:numId w:val="6"/>
              </w:numPr>
              <w:autoSpaceDE/>
              <w:autoSpaceDN/>
              <w:spacing w:after="160" w:line="259" w:lineRule="auto"/>
              <w:ind w:left="840"/>
              <w:contextualSpacing/>
            </w:pPr>
            <w:r w:rsidRPr="00690AD1">
              <w:t>Evaluate our partnerships for effectiveness, impact and reach; and</w:t>
            </w:r>
          </w:p>
          <w:p w:rsidRPr="00690AD1" w:rsidR="00690AD1" w:rsidP="00690AD1" w:rsidRDefault="00690AD1">
            <w:pPr>
              <w:pStyle w:val="ListParagraph"/>
              <w:widowControl/>
              <w:numPr>
                <w:ilvl w:val="0"/>
                <w:numId w:val="6"/>
              </w:numPr>
              <w:autoSpaceDE/>
              <w:autoSpaceDN/>
              <w:spacing w:after="160" w:line="259" w:lineRule="auto"/>
              <w:ind w:left="840"/>
              <w:contextualSpacing/>
            </w:pPr>
            <w:r w:rsidRPr="00690AD1">
              <w:t>Identify new relationships that offer scope to create original, effective, responsive and inclusive public and civic engagement activities.</w:t>
            </w:r>
          </w:p>
        </w:tc>
      </w:tr>
    </w:tbl>
    <w:p w:rsidR="00690AD1" w:rsidP="00690AD1" w:rsidRDefault="00690AD1"/>
    <w:p w:rsidRPr="00690AD1" w:rsidR="00690AD1" w:rsidP="00690AD1" w:rsidRDefault="00690AD1"/>
    <w:tbl>
      <w:tblPr>
        <w:tblW w:w="9827" w:type="dxa"/>
        <w:tblInd w:w="-80" w:type="dxa"/>
        <w:tblBorders>
          <w:top w:val="thinThickSmallGap" w:color="244061" w:themeColor="accent1" w:themeShade="80" w:sz="24" w:space="0"/>
          <w:left w:val="thinThickSmallGap" w:color="244061" w:themeColor="accent1" w:themeShade="80" w:sz="24" w:space="0"/>
          <w:bottom w:val="thinThickSmallGap" w:color="244061" w:themeColor="accent1" w:themeShade="80" w:sz="24" w:space="0"/>
          <w:right w:val="thinThickSmallGap" w:color="244061" w:themeColor="accent1" w:themeShade="80" w:sz="24" w:space="0"/>
          <w:insideH w:val="thinThickSmallGap" w:color="244061" w:themeColor="accent1" w:themeShade="80" w:sz="24" w:space="0"/>
          <w:insideV w:val="thinThickSmallGap" w:color="244061" w:themeColor="accent1" w:themeShade="80" w:sz="24" w:space="0"/>
        </w:tblBorders>
        <w:tblLook w:val="0000" w:firstRow="0" w:lastRow="0" w:firstColumn="0" w:lastColumn="0" w:noHBand="0" w:noVBand="0"/>
      </w:tblPr>
      <w:tblGrid>
        <w:gridCol w:w="9827"/>
      </w:tblGrid>
      <w:tr w:rsidRPr="00690AD1" w:rsidR="00690AD1" w:rsidTr="003C651F">
        <w:trPr>
          <w:trHeight w:val="1266"/>
        </w:trPr>
        <w:tc>
          <w:tcPr>
            <w:tcW w:w="9827" w:type="dxa"/>
          </w:tcPr>
          <w:p w:rsidR="00690AD1" w:rsidP="00441095" w:rsidRDefault="00690AD1">
            <w:pPr>
              <w:ind w:left="75"/>
              <w:rPr>
                <w:i/>
              </w:rPr>
            </w:pPr>
          </w:p>
          <w:p w:rsidR="00690AD1" w:rsidP="00441095" w:rsidRDefault="00690AD1">
            <w:pPr>
              <w:ind w:left="75"/>
              <w:rPr>
                <w:i/>
              </w:rPr>
            </w:pPr>
            <w:r w:rsidRPr="00690AD1">
              <w:rPr>
                <w:i/>
              </w:rPr>
              <w:t>To support and provide a structured programme of development for any member of the University community who wishes to develop their interest and skills in public and civic engagement, we will:</w:t>
            </w:r>
          </w:p>
          <w:p w:rsidRPr="00690AD1" w:rsidR="00690AD1" w:rsidP="00441095" w:rsidRDefault="00690AD1">
            <w:pPr>
              <w:ind w:left="75"/>
              <w:rPr>
                <w:i/>
              </w:rPr>
            </w:pPr>
          </w:p>
          <w:p w:rsidRPr="00690AD1" w:rsidR="00690AD1" w:rsidP="00690AD1" w:rsidRDefault="00690AD1">
            <w:pPr>
              <w:pStyle w:val="ListParagraph"/>
              <w:widowControl/>
              <w:numPr>
                <w:ilvl w:val="0"/>
                <w:numId w:val="7"/>
              </w:numPr>
              <w:autoSpaceDE/>
              <w:autoSpaceDN/>
              <w:spacing w:after="160" w:line="259" w:lineRule="auto"/>
              <w:contextualSpacing/>
            </w:pPr>
            <w:r w:rsidRPr="00690AD1">
              <w:t>Continue and develop the SGUL Public Engagement Champions Programme and invite graduates of the programme to be champions for public and civic engagement at the University;</w:t>
            </w:r>
          </w:p>
          <w:p w:rsidRPr="00690AD1" w:rsidR="00690AD1" w:rsidP="00690AD1" w:rsidRDefault="00690AD1">
            <w:pPr>
              <w:pStyle w:val="ListParagraph"/>
              <w:widowControl/>
              <w:numPr>
                <w:ilvl w:val="0"/>
                <w:numId w:val="7"/>
              </w:numPr>
              <w:autoSpaceDE/>
              <w:autoSpaceDN/>
              <w:spacing w:after="160" w:line="259" w:lineRule="auto"/>
              <w:contextualSpacing/>
            </w:pPr>
            <w:r w:rsidRPr="00690AD1">
              <w:t>Offer workshops, training events, and seminars at which any member of staff or any student will be welcome;</w:t>
            </w:r>
          </w:p>
          <w:p w:rsidRPr="00690AD1" w:rsidR="00690AD1" w:rsidP="00690AD1" w:rsidRDefault="00690AD1">
            <w:pPr>
              <w:pStyle w:val="ListParagraph"/>
              <w:widowControl/>
              <w:numPr>
                <w:ilvl w:val="0"/>
                <w:numId w:val="7"/>
              </w:numPr>
              <w:autoSpaceDE/>
              <w:autoSpaceDN/>
              <w:spacing w:after="160" w:line="259" w:lineRule="auto"/>
              <w:contextualSpacing/>
            </w:pPr>
            <w:r w:rsidRPr="00690AD1">
              <w:t xml:space="preserve">Provide opportunities for staff to participate in existing public engagement activities, for example, Inside Science, Global public engagement, Spotlight on Science and media enquiries; </w:t>
            </w:r>
          </w:p>
          <w:p w:rsidRPr="00690AD1" w:rsidR="00690AD1" w:rsidP="00690AD1" w:rsidRDefault="00690AD1">
            <w:pPr>
              <w:pStyle w:val="ListParagraph"/>
              <w:widowControl/>
              <w:numPr>
                <w:ilvl w:val="0"/>
                <w:numId w:val="7"/>
              </w:numPr>
              <w:autoSpaceDE/>
              <w:autoSpaceDN/>
              <w:spacing w:after="160" w:line="259" w:lineRule="auto"/>
              <w:contextualSpacing/>
            </w:pPr>
            <w:r w:rsidRPr="00690AD1">
              <w:t>Provide logistic support for public engagement activities that have been approved by the Public Engagement Steering Group; and</w:t>
            </w:r>
          </w:p>
          <w:p w:rsidRPr="00690AD1" w:rsidR="00690AD1" w:rsidP="00690AD1" w:rsidRDefault="00690AD1">
            <w:pPr>
              <w:pStyle w:val="ListParagraph"/>
              <w:widowControl/>
              <w:numPr>
                <w:ilvl w:val="0"/>
                <w:numId w:val="7"/>
              </w:numPr>
              <w:autoSpaceDE/>
              <w:autoSpaceDN/>
              <w:spacing w:after="160" w:line="259" w:lineRule="auto"/>
              <w:contextualSpacing/>
            </w:pPr>
            <w:r w:rsidRPr="00690AD1">
              <w:t>Encourage all members of the University community to join the public engagement network.</w:t>
            </w:r>
          </w:p>
        </w:tc>
      </w:tr>
    </w:tbl>
    <w:p w:rsidR="00690AD1" w:rsidP="00690AD1" w:rsidRDefault="00690AD1"/>
    <w:p w:rsidRPr="00690AD1" w:rsidR="00690AD1" w:rsidP="00690AD1" w:rsidRDefault="00690AD1"/>
    <w:tbl>
      <w:tblPr>
        <w:tblW w:w="9764" w:type="dxa"/>
        <w:tblInd w:w="-34" w:type="dxa"/>
        <w:tblBorders>
          <w:top w:val="thinThickSmallGap" w:color="244061" w:themeColor="accent1" w:themeShade="80" w:sz="24" w:space="0"/>
          <w:left w:val="thinThickSmallGap" w:color="244061" w:themeColor="accent1" w:themeShade="80" w:sz="24" w:space="0"/>
          <w:bottom w:val="thinThickSmallGap" w:color="244061" w:themeColor="accent1" w:themeShade="80" w:sz="24" w:space="0"/>
          <w:right w:val="thinThickSmallGap" w:color="244061" w:themeColor="accent1" w:themeShade="80" w:sz="24" w:space="0"/>
          <w:insideH w:val="thinThickSmallGap" w:color="244061" w:themeColor="accent1" w:themeShade="80" w:sz="24" w:space="0"/>
          <w:insideV w:val="thinThickSmallGap" w:color="244061" w:themeColor="accent1" w:themeShade="80" w:sz="24" w:space="0"/>
        </w:tblBorders>
        <w:tblLook w:val="0000" w:firstRow="0" w:lastRow="0" w:firstColumn="0" w:lastColumn="0" w:noHBand="0" w:noVBand="0"/>
      </w:tblPr>
      <w:tblGrid>
        <w:gridCol w:w="9764"/>
      </w:tblGrid>
      <w:tr w:rsidRPr="00690AD1" w:rsidR="00690AD1" w:rsidTr="003C651F">
        <w:trPr>
          <w:trHeight w:val="699"/>
        </w:trPr>
        <w:tc>
          <w:tcPr>
            <w:tcW w:w="9764" w:type="dxa"/>
          </w:tcPr>
          <w:p w:rsidR="00690AD1" w:rsidP="00441095" w:rsidRDefault="00690AD1">
            <w:pPr>
              <w:ind w:left="120"/>
            </w:pPr>
          </w:p>
          <w:p w:rsidRPr="00690AD1" w:rsidR="00690AD1" w:rsidP="00441095" w:rsidRDefault="00690AD1">
            <w:pPr>
              <w:ind w:left="120"/>
              <w:rPr>
                <w:i/>
              </w:rPr>
            </w:pPr>
            <w:r w:rsidRPr="00690AD1">
              <w:rPr>
                <w:i/>
              </w:rPr>
              <w:t>To achieve external recognition, funding and a national reputation for original, effective, responsive and inclusive public and civic engagement work in bioscience, health and medicine, we will:</w:t>
            </w:r>
          </w:p>
          <w:p w:rsidR="00690AD1" w:rsidP="00690AD1" w:rsidRDefault="00690AD1">
            <w:pPr>
              <w:pStyle w:val="ListParagraph"/>
              <w:widowControl/>
              <w:autoSpaceDE/>
              <w:autoSpaceDN/>
              <w:spacing w:after="160" w:line="259" w:lineRule="auto"/>
              <w:ind w:left="960" w:firstLine="0"/>
              <w:contextualSpacing/>
            </w:pPr>
          </w:p>
          <w:p w:rsidRPr="00690AD1" w:rsidR="00690AD1" w:rsidP="00690AD1" w:rsidRDefault="00690AD1">
            <w:pPr>
              <w:pStyle w:val="ListParagraph"/>
              <w:widowControl/>
              <w:numPr>
                <w:ilvl w:val="0"/>
                <w:numId w:val="6"/>
              </w:numPr>
              <w:autoSpaceDE/>
              <w:autoSpaceDN/>
              <w:spacing w:after="160" w:line="259" w:lineRule="auto"/>
              <w:ind w:left="960"/>
              <w:contextualSpacing/>
            </w:pPr>
            <w:r w:rsidRPr="00690AD1">
              <w:t>Identify new relationships that offer scope to create original, effective, responsive and inclusive public and civic engagement activities;</w:t>
            </w:r>
          </w:p>
          <w:p w:rsidRPr="00690AD1" w:rsidR="00690AD1" w:rsidP="00690AD1" w:rsidRDefault="00690AD1">
            <w:pPr>
              <w:pStyle w:val="ListParagraph"/>
              <w:widowControl/>
              <w:numPr>
                <w:ilvl w:val="0"/>
                <w:numId w:val="6"/>
              </w:numPr>
              <w:autoSpaceDE/>
              <w:autoSpaceDN/>
              <w:spacing w:after="160" w:line="259" w:lineRule="auto"/>
              <w:ind w:left="960"/>
              <w:contextualSpacing/>
            </w:pPr>
            <w:r w:rsidRPr="00690AD1">
              <w:t>Encourage ideas and support bids to grant awarding bodies, Trusts and Foundations for projects in public and civic engagement;</w:t>
            </w:r>
          </w:p>
          <w:p w:rsidRPr="00690AD1" w:rsidR="00690AD1" w:rsidP="00690AD1" w:rsidRDefault="00690AD1">
            <w:pPr>
              <w:pStyle w:val="ListParagraph"/>
              <w:widowControl/>
              <w:numPr>
                <w:ilvl w:val="0"/>
                <w:numId w:val="6"/>
              </w:numPr>
              <w:autoSpaceDE/>
              <w:autoSpaceDN/>
              <w:spacing w:after="160" w:line="259" w:lineRule="auto"/>
              <w:ind w:left="960"/>
              <w:contextualSpacing/>
            </w:pPr>
            <w:r w:rsidRPr="00690AD1">
              <w:t>Provide advice and guidance on external grants, funding sources and opportunities in public and civic engagement.</w:t>
            </w:r>
          </w:p>
          <w:p w:rsidRPr="00690AD1" w:rsidR="00690AD1" w:rsidP="00690AD1" w:rsidRDefault="00690AD1">
            <w:pPr>
              <w:pStyle w:val="ListParagraph"/>
              <w:widowControl/>
              <w:numPr>
                <w:ilvl w:val="0"/>
                <w:numId w:val="6"/>
              </w:numPr>
              <w:autoSpaceDE/>
              <w:autoSpaceDN/>
              <w:spacing w:after="160" w:line="259" w:lineRule="auto"/>
              <w:ind w:left="960"/>
              <w:contextualSpacing/>
            </w:pPr>
            <w:r w:rsidRPr="00690AD1">
              <w:t>Respond to public consultations and calls in public and civic engagement;</w:t>
            </w:r>
          </w:p>
          <w:p w:rsidRPr="00690AD1" w:rsidR="00690AD1" w:rsidP="00690AD1" w:rsidRDefault="00690AD1">
            <w:pPr>
              <w:pStyle w:val="ListParagraph"/>
              <w:widowControl/>
              <w:numPr>
                <w:ilvl w:val="0"/>
                <w:numId w:val="6"/>
              </w:numPr>
              <w:autoSpaceDE/>
              <w:autoSpaceDN/>
              <w:spacing w:after="160" w:line="259" w:lineRule="auto"/>
              <w:ind w:left="960"/>
              <w:contextualSpacing/>
            </w:pPr>
            <w:r w:rsidRPr="00690AD1">
              <w:t>Participate in regional and national networks for, and projects in, public and civic engagement; and</w:t>
            </w:r>
          </w:p>
          <w:p w:rsidRPr="00690AD1" w:rsidR="00690AD1" w:rsidP="00690AD1" w:rsidRDefault="00690AD1">
            <w:pPr>
              <w:pStyle w:val="ListParagraph"/>
              <w:widowControl/>
              <w:numPr>
                <w:ilvl w:val="0"/>
                <w:numId w:val="6"/>
              </w:numPr>
              <w:autoSpaceDE/>
              <w:autoSpaceDN/>
              <w:spacing w:after="160" w:line="259" w:lineRule="auto"/>
              <w:ind w:left="960"/>
              <w:contextualSpacing/>
            </w:pPr>
            <w:r w:rsidRPr="00690AD1">
              <w:t>Encourage staff to participate in, and present at, conferences, meetings, festivals and events where they can disseminate the University’s work in public engagement.</w:t>
            </w:r>
          </w:p>
        </w:tc>
      </w:tr>
    </w:tbl>
    <w:p w:rsidR="00C77E6E" w:rsidP="003C651F" w:rsidRDefault="00C77E6E">
      <w:pPr>
        <w:spacing w:before="85"/>
      </w:pPr>
    </w:p>
    <w:sectPr w:rsidR="00C77E6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45D" w:rsidRDefault="0003145D">
      <w:r>
        <w:separator/>
      </w:r>
    </w:p>
  </w:endnote>
  <w:endnote w:type="continuationSeparator" w:id="0">
    <w:p w:rsidR="0003145D" w:rsidRDefault="0003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B1" w:rsidRDefault="003C651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3785870</wp:posOffset>
              </wp:positionH>
              <wp:positionV relativeFrom="page">
                <wp:posOffset>9441815</wp:posOffset>
              </wp:positionV>
              <wp:extent cx="200660" cy="168910"/>
              <wp:effectExtent l="4445" t="254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BB1" w:rsidRDefault="00C77E6E">
                          <w:pPr>
                            <w:spacing w:before="19"/>
                            <w:ind w:left="40"/>
                            <w:rPr>
                              <w:rFonts w:ascii="Franklin Gothic Book"/>
                              <w:sz w:val="20"/>
                            </w:rPr>
                          </w:pPr>
                          <w:r>
                            <w:fldChar w:fldCharType="begin"/>
                          </w:r>
                          <w:r>
                            <w:rPr>
                              <w:rFonts w:ascii="Franklin Gothic Book"/>
                              <w:sz w:val="20"/>
                            </w:rPr>
                            <w:instrText xml:space="preserve"> PAGE </w:instrText>
                          </w:r>
                          <w:r>
                            <w:fldChar w:fldCharType="separate"/>
                          </w:r>
                          <w:r w:rsidR="003C651F">
                            <w:rPr>
                              <w:rFonts w:ascii="Franklin Gothic Book"/>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8.1pt;margin-top:743.45pt;width:15.8pt;height:13.3pt;z-index:-1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" filled="f" stroked="f">
              <v:textbox inset="0,0,0,0">
                <w:txbxContent>
                  <w:p w:rsidR="004C5BB1" w:rsidRDefault="00C77E6E">
                    <w:pPr>
                      <w:spacing w:before="19"/>
                      <w:ind w:left="40"/>
                      <w:rPr>
                        <w:rFonts w:ascii="Franklin Gothic Book"/>
                        <w:sz w:val="20"/>
                      </w:rPr>
                    </w:pPr>
                    <w:r>
                      <w:fldChar w:fldCharType="begin"/>
                    </w:r>
                    <w:r>
                      <w:rPr>
                        <w:rFonts w:ascii="Franklin Gothic Book"/>
                        <w:sz w:val="20"/>
                      </w:rPr>
                      <w:instrText xml:space="preserve"> PAGE </w:instrText>
                    </w:r>
                    <w:r>
                      <w:fldChar w:fldCharType="separate"/>
                    </w:r>
                    <w:r w:rsidR="003C651F">
                      <w:rPr>
                        <w:rFonts w:ascii="Franklin Gothic Book"/>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45D" w:rsidRDefault="0003145D">
      <w:r>
        <w:separator/>
      </w:r>
    </w:p>
  </w:footnote>
  <w:footnote w:type="continuationSeparator" w:id="0">
    <w:p w:rsidR="0003145D" w:rsidRDefault="0003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B1" w:rsidRDefault="004C5BB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579" w:rsidRDefault="00031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1F67"/>
    <w:multiLevelType w:val="hybridMultilevel"/>
    <w:tmpl w:val="AEF0B356"/>
    <w:lvl w:ilvl="0" w:tplc="0809000B">
      <w:start w:val="1"/>
      <w:numFmt w:val="bullet"/>
      <w:lvlText w:val=""/>
      <w:lvlJc w:val="left"/>
      <w:pPr>
        <w:ind w:left="795" w:hanging="360"/>
      </w:pPr>
      <w:rPr>
        <w:rFonts w:ascii="Wingdings" w:hAnsi="Wingding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1FCF0CCF"/>
    <w:multiLevelType w:val="hybridMultilevel"/>
    <w:tmpl w:val="010A5A32"/>
    <w:lvl w:ilvl="0" w:tplc="B26443B4">
      <w:numFmt w:val="bullet"/>
      <w:lvlText w:val=""/>
      <w:lvlJc w:val="left"/>
      <w:pPr>
        <w:ind w:left="1047" w:hanging="356"/>
      </w:pPr>
      <w:rPr>
        <w:rFonts w:ascii="Symbol" w:eastAsia="Symbol" w:hAnsi="Symbol" w:cs="Symbol" w:hint="default"/>
        <w:w w:val="100"/>
        <w:sz w:val="22"/>
        <w:szCs w:val="22"/>
        <w:lang w:val="en-GB" w:eastAsia="en-GB" w:bidi="en-GB"/>
      </w:rPr>
    </w:lvl>
    <w:lvl w:ilvl="1" w:tplc="ABCAE96C">
      <w:numFmt w:val="bullet"/>
      <w:lvlText w:val="•"/>
      <w:lvlJc w:val="left"/>
      <w:pPr>
        <w:ind w:left="2022" w:hanging="356"/>
      </w:pPr>
      <w:rPr>
        <w:rFonts w:hint="default"/>
        <w:lang w:val="en-GB" w:eastAsia="en-GB" w:bidi="en-GB"/>
      </w:rPr>
    </w:lvl>
    <w:lvl w:ilvl="2" w:tplc="820A4CD0">
      <w:numFmt w:val="bullet"/>
      <w:lvlText w:val="•"/>
      <w:lvlJc w:val="left"/>
      <w:pPr>
        <w:ind w:left="3004" w:hanging="356"/>
      </w:pPr>
      <w:rPr>
        <w:rFonts w:hint="default"/>
        <w:lang w:val="en-GB" w:eastAsia="en-GB" w:bidi="en-GB"/>
      </w:rPr>
    </w:lvl>
    <w:lvl w:ilvl="3" w:tplc="593EFF64">
      <w:numFmt w:val="bullet"/>
      <w:lvlText w:val="•"/>
      <w:lvlJc w:val="left"/>
      <w:pPr>
        <w:ind w:left="3986" w:hanging="356"/>
      </w:pPr>
      <w:rPr>
        <w:rFonts w:hint="default"/>
        <w:lang w:val="en-GB" w:eastAsia="en-GB" w:bidi="en-GB"/>
      </w:rPr>
    </w:lvl>
    <w:lvl w:ilvl="4" w:tplc="5666F9CE">
      <w:numFmt w:val="bullet"/>
      <w:lvlText w:val="•"/>
      <w:lvlJc w:val="left"/>
      <w:pPr>
        <w:ind w:left="4968" w:hanging="356"/>
      </w:pPr>
      <w:rPr>
        <w:rFonts w:hint="default"/>
        <w:lang w:val="en-GB" w:eastAsia="en-GB" w:bidi="en-GB"/>
      </w:rPr>
    </w:lvl>
    <w:lvl w:ilvl="5" w:tplc="F4C83714">
      <w:numFmt w:val="bullet"/>
      <w:lvlText w:val="•"/>
      <w:lvlJc w:val="left"/>
      <w:pPr>
        <w:ind w:left="5950" w:hanging="356"/>
      </w:pPr>
      <w:rPr>
        <w:rFonts w:hint="default"/>
        <w:lang w:val="en-GB" w:eastAsia="en-GB" w:bidi="en-GB"/>
      </w:rPr>
    </w:lvl>
    <w:lvl w:ilvl="6" w:tplc="450EB7C8">
      <w:numFmt w:val="bullet"/>
      <w:lvlText w:val="•"/>
      <w:lvlJc w:val="left"/>
      <w:pPr>
        <w:ind w:left="6932" w:hanging="356"/>
      </w:pPr>
      <w:rPr>
        <w:rFonts w:hint="default"/>
        <w:lang w:val="en-GB" w:eastAsia="en-GB" w:bidi="en-GB"/>
      </w:rPr>
    </w:lvl>
    <w:lvl w:ilvl="7" w:tplc="06565E08">
      <w:numFmt w:val="bullet"/>
      <w:lvlText w:val="•"/>
      <w:lvlJc w:val="left"/>
      <w:pPr>
        <w:ind w:left="7914" w:hanging="356"/>
      </w:pPr>
      <w:rPr>
        <w:rFonts w:hint="default"/>
        <w:lang w:val="en-GB" w:eastAsia="en-GB" w:bidi="en-GB"/>
      </w:rPr>
    </w:lvl>
    <w:lvl w:ilvl="8" w:tplc="CCFC79A0">
      <w:numFmt w:val="bullet"/>
      <w:lvlText w:val="•"/>
      <w:lvlJc w:val="left"/>
      <w:pPr>
        <w:ind w:left="8896" w:hanging="356"/>
      </w:pPr>
      <w:rPr>
        <w:rFonts w:hint="default"/>
        <w:lang w:val="en-GB" w:eastAsia="en-GB" w:bidi="en-GB"/>
      </w:rPr>
    </w:lvl>
  </w:abstractNum>
  <w:abstractNum w:abstractNumId="2" w15:restartNumberingAfterBreak="0">
    <w:nsid w:val="259C0C95"/>
    <w:multiLevelType w:val="hybridMultilevel"/>
    <w:tmpl w:val="CC02DD34"/>
    <w:lvl w:ilvl="0" w:tplc="C0E21E5E">
      <w:start w:val="1"/>
      <w:numFmt w:val="decimal"/>
      <w:lvlText w:val="%1."/>
      <w:lvlJc w:val="left"/>
      <w:pPr>
        <w:ind w:left="963" w:hanging="284"/>
        <w:jc w:val="left"/>
      </w:pPr>
      <w:rPr>
        <w:rFonts w:ascii="Arial" w:eastAsia="Arial" w:hAnsi="Arial" w:cs="Arial" w:hint="default"/>
        <w:b/>
        <w:bCs/>
        <w:spacing w:val="-1"/>
        <w:w w:val="100"/>
        <w:sz w:val="22"/>
        <w:szCs w:val="22"/>
        <w:lang w:val="en-GB" w:eastAsia="en-GB" w:bidi="en-GB"/>
      </w:rPr>
    </w:lvl>
    <w:lvl w:ilvl="1" w:tplc="45482922">
      <w:start w:val="1"/>
      <w:numFmt w:val="lowerRoman"/>
      <w:lvlText w:val="%2)"/>
      <w:lvlJc w:val="left"/>
      <w:pPr>
        <w:ind w:left="1148" w:hanging="185"/>
        <w:jc w:val="left"/>
      </w:pPr>
      <w:rPr>
        <w:rFonts w:ascii="Arial" w:eastAsia="Arial" w:hAnsi="Arial" w:cs="Arial" w:hint="default"/>
        <w:spacing w:val="-2"/>
        <w:w w:val="100"/>
        <w:sz w:val="22"/>
        <w:szCs w:val="22"/>
        <w:lang w:val="en-GB" w:eastAsia="en-GB" w:bidi="en-GB"/>
      </w:rPr>
    </w:lvl>
    <w:lvl w:ilvl="2" w:tplc="40F8C030">
      <w:numFmt w:val="bullet"/>
      <w:lvlText w:val="•"/>
      <w:lvlJc w:val="left"/>
      <w:pPr>
        <w:ind w:left="2220" w:hanging="185"/>
      </w:pPr>
      <w:rPr>
        <w:rFonts w:hint="default"/>
        <w:lang w:val="en-GB" w:eastAsia="en-GB" w:bidi="en-GB"/>
      </w:rPr>
    </w:lvl>
    <w:lvl w:ilvl="3" w:tplc="8AFA15E4">
      <w:numFmt w:val="bullet"/>
      <w:lvlText w:val="•"/>
      <w:lvlJc w:val="left"/>
      <w:pPr>
        <w:ind w:left="3300" w:hanging="185"/>
      </w:pPr>
      <w:rPr>
        <w:rFonts w:hint="default"/>
        <w:lang w:val="en-GB" w:eastAsia="en-GB" w:bidi="en-GB"/>
      </w:rPr>
    </w:lvl>
    <w:lvl w:ilvl="4" w:tplc="358EF8FC">
      <w:numFmt w:val="bullet"/>
      <w:lvlText w:val="•"/>
      <w:lvlJc w:val="left"/>
      <w:pPr>
        <w:ind w:left="4380" w:hanging="185"/>
      </w:pPr>
      <w:rPr>
        <w:rFonts w:hint="default"/>
        <w:lang w:val="en-GB" w:eastAsia="en-GB" w:bidi="en-GB"/>
      </w:rPr>
    </w:lvl>
    <w:lvl w:ilvl="5" w:tplc="9BAEEF0C">
      <w:numFmt w:val="bullet"/>
      <w:lvlText w:val="•"/>
      <w:lvlJc w:val="left"/>
      <w:pPr>
        <w:ind w:left="5460" w:hanging="185"/>
      </w:pPr>
      <w:rPr>
        <w:rFonts w:hint="default"/>
        <w:lang w:val="en-GB" w:eastAsia="en-GB" w:bidi="en-GB"/>
      </w:rPr>
    </w:lvl>
    <w:lvl w:ilvl="6" w:tplc="4104A1BE">
      <w:numFmt w:val="bullet"/>
      <w:lvlText w:val="•"/>
      <w:lvlJc w:val="left"/>
      <w:pPr>
        <w:ind w:left="6540" w:hanging="185"/>
      </w:pPr>
      <w:rPr>
        <w:rFonts w:hint="default"/>
        <w:lang w:val="en-GB" w:eastAsia="en-GB" w:bidi="en-GB"/>
      </w:rPr>
    </w:lvl>
    <w:lvl w:ilvl="7" w:tplc="66C4DA58">
      <w:numFmt w:val="bullet"/>
      <w:lvlText w:val="•"/>
      <w:lvlJc w:val="left"/>
      <w:pPr>
        <w:ind w:left="7620" w:hanging="185"/>
      </w:pPr>
      <w:rPr>
        <w:rFonts w:hint="default"/>
        <w:lang w:val="en-GB" w:eastAsia="en-GB" w:bidi="en-GB"/>
      </w:rPr>
    </w:lvl>
    <w:lvl w:ilvl="8" w:tplc="18DC2598">
      <w:numFmt w:val="bullet"/>
      <w:lvlText w:val="•"/>
      <w:lvlJc w:val="left"/>
      <w:pPr>
        <w:ind w:left="8700" w:hanging="185"/>
      </w:pPr>
      <w:rPr>
        <w:rFonts w:hint="default"/>
        <w:lang w:val="en-GB" w:eastAsia="en-GB" w:bidi="en-GB"/>
      </w:rPr>
    </w:lvl>
  </w:abstractNum>
  <w:abstractNum w:abstractNumId="3" w15:restartNumberingAfterBreak="0">
    <w:nsid w:val="2AE37CB2"/>
    <w:multiLevelType w:val="multilevel"/>
    <w:tmpl w:val="BE14AB1E"/>
    <w:lvl w:ilvl="0">
      <w:start w:val="1"/>
      <w:numFmt w:val="decimal"/>
      <w:lvlText w:val="%1."/>
      <w:lvlJc w:val="left"/>
      <w:pPr>
        <w:ind w:left="900" w:hanging="221"/>
        <w:jc w:val="left"/>
      </w:pPr>
      <w:rPr>
        <w:rFonts w:ascii="Arial" w:eastAsia="Arial" w:hAnsi="Arial" w:cs="Arial" w:hint="default"/>
        <w:spacing w:val="-1"/>
        <w:w w:val="99"/>
        <w:sz w:val="20"/>
        <w:szCs w:val="20"/>
        <w:lang w:val="en-GB" w:eastAsia="en-GB" w:bidi="en-GB"/>
      </w:rPr>
    </w:lvl>
    <w:lvl w:ilvl="1">
      <w:start w:val="1"/>
      <w:numFmt w:val="decimal"/>
      <w:lvlText w:val="%1.%2"/>
      <w:lvlJc w:val="left"/>
      <w:pPr>
        <w:ind w:left="1013" w:hanging="334"/>
        <w:jc w:val="left"/>
      </w:pPr>
      <w:rPr>
        <w:rFonts w:ascii="Arial" w:eastAsia="Arial" w:hAnsi="Arial" w:cs="Arial" w:hint="default"/>
        <w:spacing w:val="-1"/>
        <w:w w:val="99"/>
        <w:sz w:val="20"/>
        <w:szCs w:val="20"/>
        <w:lang w:val="en-GB" w:eastAsia="en-GB" w:bidi="en-GB"/>
      </w:rPr>
    </w:lvl>
    <w:lvl w:ilvl="2">
      <w:numFmt w:val="bullet"/>
      <w:lvlText w:val="•"/>
      <w:lvlJc w:val="left"/>
      <w:pPr>
        <w:ind w:left="1400" w:hanging="334"/>
      </w:pPr>
      <w:rPr>
        <w:rFonts w:hint="default"/>
        <w:lang w:val="en-GB" w:eastAsia="en-GB" w:bidi="en-GB"/>
      </w:rPr>
    </w:lvl>
    <w:lvl w:ilvl="3">
      <w:numFmt w:val="bullet"/>
      <w:lvlText w:val="•"/>
      <w:lvlJc w:val="left"/>
      <w:pPr>
        <w:ind w:left="2582" w:hanging="334"/>
      </w:pPr>
      <w:rPr>
        <w:rFonts w:hint="default"/>
        <w:lang w:val="en-GB" w:eastAsia="en-GB" w:bidi="en-GB"/>
      </w:rPr>
    </w:lvl>
    <w:lvl w:ilvl="4">
      <w:numFmt w:val="bullet"/>
      <w:lvlText w:val="•"/>
      <w:lvlJc w:val="left"/>
      <w:pPr>
        <w:ind w:left="3765" w:hanging="334"/>
      </w:pPr>
      <w:rPr>
        <w:rFonts w:hint="default"/>
        <w:lang w:val="en-GB" w:eastAsia="en-GB" w:bidi="en-GB"/>
      </w:rPr>
    </w:lvl>
    <w:lvl w:ilvl="5">
      <w:numFmt w:val="bullet"/>
      <w:lvlText w:val="•"/>
      <w:lvlJc w:val="left"/>
      <w:pPr>
        <w:ind w:left="4947" w:hanging="334"/>
      </w:pPr>
      <w:rPr>
        <w:rFonts w:hint="default"/>
        <w:lang w:val="en-GB" w:eastAsia="en-GB" w:bidi="en-GB"/>
      </w:rPr>
    </w:lvl>
    <w:lvl w:ilvl="6">
      <w:numFmt w:val="bullet"/>
      <w:lvlText w:val="•"/>
      <w:lvlJc w:val="left"/>
      <w:pPr>
        <w:ind w:left="6130" w:hanging="334"/>
      </w:pPr>
      <w:rPr>
        <w:rFonts w:hint="default"/>
        <w:lang w:val="en-GB" w:eastAsia="en-GB" w:bidi="en-GB"/>
      </w:rPr>
    </w:lvl>
    <w:lvl w:ilvl="7">
      <w:numFmt w:val="bullet"/>
      <w:lvlText w:val="•"/>
      <w:lvlJc w:val="left"/>
      <w:pPr>
        <w:ind w:left="7312" w:hanging="334"/>
      </w:pPr>
      <w:rPr>
        <w:rFonts w:hint="default"/>
        <w:lang w:val="en-GB" w:eastAsia="en-GB" w:bidi="en-GB"/>
      </w:rPr>
    </w:lvl>
    <w:lvl w:ilvl="8">
      <w:numFmt w:val="bullet"/>
      <w:lvlText w:val="•"/>
      <w:lvlJc w:val="left"/>
      <w:pPr>
        <w:ind w:left="8495" w:hanging="334"/>
      </w:pPr>
      <w:rPr>
        <w:rFonts w:hint="default"/>
        <w:lang w:val="en-GB" w:eastAsia="en-GB" w:bidi="en-GB"/>
      </w:rPr>
    </w:lvl>
  </w:abstractNum>
  <w:abstractNum w:abstractNumId="4" w15:restartNumberingAfterBreak="0">
    <w:nsid w:val="39E8267E"/>
    <w:multiLevelType w:val="hybridMultilevel"/>
    <w:tmpl w:val="CC28AF54"/>
    <w:lvl w:ilvl="0" w:tplc="9FECAD4A">
      <w:numFmt w:val="bullet"/>
      <w:lvlText w:val=""/>
      <w:lvlJc w:val="left"/>
      <w:pPr>
        <w:ind w:left="1400" w:hanging="361"/>
      </w:pPr>
      <w:rPr>
        <w:rFonts w:ascii="Symbol" w:eastAsia="Symbol" w:hAnsi="Symbol" w:cs="Symbol" w:hint="default"/>
        <w:w w:val="100"/>
        <w:sz w:val="22"/>
        <w:szCs w:val="22"/>
        <w:lang w:val="en-GB" w:eastAsia="en-GB" w:bidi="en-GB"/>
      </w:rPr>
    </w:lvl>
    <w:lvl w:ilvl="1" w:tplc="8F82E770">
      <w:numFmt w:val="bullet"/>
      <w:lvlText w:val="•"/>
      <w:lvlJc w:val="left"/>
      <w:pPr>
        <w:ind w:left="2346" w:hanging="361"/>
      </w:pPr>
      <w:rPr>
        <w:rFonts w:hint="default"/>
        <w:lang w:val="en-GB" w:eastAsia="en-GB" w:bidi="en-GB"/>
      </w:rPr>
    </w:lvl>
    <w:lvl w:ilvl="2" w:tplc="4692A9A6">
      <w:numFmt w:val="bullet"/>
      <w:lvlText w:val="•"/>
      <w:lvlJc w:val="left"/>
      <w:pPr>
        <w:ind w:left="3292" w:hanging="361"/>
      </w:pPr>
      <w:rPr>
        <w:rFonts w:hint="default"/>
        <w:lang w:val="en-GB" w:eastAsia="en-GB" w:bidi="en-GB"/>
      </w:rPr>
    </w:lvl>
    <w:lvl w:ilvl="3" w:tplc="B4A6B3DC">
      <w:numFmt w:val="bullet"/>
      <w:lvlText w:val="•"/>
      <w:lvlJc w:val="left"/>
      <w:pPr>
        <w:ind w:left="4238" w:hanging="361"/>
      </w:pPr>
      <w:rPr>
        <w:rFonts w:hint="default"/>
        <w:lang w:val="en-GB" w:eastAsia="en-GB" w:bidi="en-GB"/>
      </w:rPr>
    </w:lvl>
    <w:lvl w:ilvl="4" w:tplc="AE0CB8A0">
      <w:numFmt w:val="bullet"/>
      <w:lvlText w:val="•"/>
      <w:lvlJc w:val="left"/>
      <w:pPr>
        <w:ind w:left="5184" w:hanging="361"/>
      </w:pPr>
      <w:rPr>
        <w:rFonts w:hint="default"/>
        <w:lang w:val="en-GB" w:eastAsia="en-GB" w:bidi="en-GB"/>
      </w:rPr>
    </w:lvl>
    <w:lvl w:ilvl="5" w:tplc="8B80402A">
      <w:numFmt w:val="bullet"/>
      <w:lvlText w:val="•"/>
      <w:lvlJc w:val="left"/>
      <w:pPr>
        <w:ind w:left="6130" w:hanging="361"/>
      </w:pPr>
      <w:rPr>
        <w:rFonts w:hint="default"/>
        <w:lang w:val="en-GB" w:eastAsia="en-GB" w:bidi="en-GB"/>
      </w:rPr>
    </w:lvl>
    <w:lvl w:ilvl="6" w:tplc="FB5E1206">
      <w:numFmt w:val="bullet"/>
      <w:lvlText w:val="•"/>
      <w:lvlJc w:val="left"/>
      <w:pPr>
        <w:ind w:left="7076" w:hanging="361"/>
      </w:pPr>
      <w:rPr>
        <w:rFonts w:hint="default"/>
        <w:lang w:val="en-GB" w:eastAsia="en-GB" w:bidi="en-GB"/>
      </w:rPr>
    </w:lvl>
    <w:lvl w:ilvl="7" w:tplc="D2D60EAC">
      <w:numFmt w:val="bullet"/>
      <w:lvlText w:val="•"/>
      <w:lvlJc w:val="left"/>
      <w:pPr>
        <w:ind w:left="8022" w:hanging="361"/>
      </w:pPr>
      <w:rPr>
        <w:rFonts w:hint="default"/>
        <w:lang w:val="en-GB" w:eastAsia="en-GB" w:bidi="en-GB"/>
      </w:rPr>
    </w:lvl>
    <w:lvl w:ilvl="8" w:tplc="5BBA7C12">
      <w:numFmt w:val="bullet"/>
      <w:lvlText w:val="•"/>
      <w:lvlJc w:val="left"/>
      <w:pPr>
        <w:ind w:left="8968" w:hanging="361"/>
      </w:pPr>
      <w:rPr>
        <w:rFonts w:hint="default"/>
        <w:lang w:val="en-GB" w:eastAsia="en-GB" w:bidi="en-GB"/>
      </w:rPr>
    </w:lvl>
  </w:abstractNum>
  <w:abstractNum w:abstractNumId="5" w15:restartNumberingAfterBreak="0">
    <w:nsid w:val="702C144F"/>
    <w:multiLevelType w:val="hybridMultilevel"/>
    <w:tmpl w:val="A2D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1E1082"/>
    <w:multiLevelType w:val="hybridMultilevel"/>
    <w:tmpl w:val="E5826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BB1"/>
    <w:rsid w:val="0003145D"/>
    <w:rsid w:val="00067F5C"/>
    <w:rsid w:val="00087462"/>
    <w:rsid w:val="00202959"/>
    <w:rsid w:val="002B45D7"/>
    <w:rsid w:val="003C651F"/>
    <w:rsid w:val="004119FF"/>
    <w:rsid w:val="004C5BB1"/>
    <w:rsid w:val="00690AD1"/>
    <w:rsid w:val="00A3010E"/>
    <w:rsid w:val="00C77E6E"/>
    <w:rsid w:val="00D21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336B2"/>
  <w15:docId w15:val="{DCBE15A1-4C80-4622-A2B2-EF0C04BA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401" w:hanging="360"/>
    </w:pPr>
  </w:style>
  <w:style w:type="paragraph" w:customStyle="1" w:styleId="TableParagraph">
    <w:name w:val="Table Paragraph"/>
    <w:basedOn w:val="Normal"/>
    <w:uiPriority w:val="1"/>
    <w:qFormat/>
    <w:pPr>
      <w:spacing w:line="210" w:lineRule="exact"/>
      <w:ind w:left="107"/>
    </w:pPr>
  </w:style>
  <w:style w:type="paragraph" w:styleId="Header">
    <w:name w:val="header"/>
    <w:basedOn w:val="Normal"/>
    <w:link w:val="HeaderChar"/>
    <w:uiPriority w:val="99"/>
    <w:unhideWhenUsed/>
    <w:rsid w:val="00A3010E"/>
    <w:pPr>
      <w:tabs>
        <w:tab w:val="center" w:pos="4513"/>
        <w:tab w:val="right" w:pos="9026"/>
      </w:tabs>
    </w:pPr>
  </w:style>
  <w:style w:type="character" w:customStyle="1" w:styleId="HeaderChar">
    <w:name w:val="Header Char"/>
    <w:basedOn w:val="DefaultParagraphFont"/>
    <w:link w:val="Header"/>
    <w:uiPriority w:val="99"/>
    <w:rsid w:val="00A3010E"/>
    <w:rPr>
      <w:rFonts w:ascii="Arial" w:eastAsia="Arial" w:hAnsi="Arial" w:cs="Arial"/>
      <w:lang w:val="en-GB" w:eastAsia="en-GB" w:bidi="en-GB"/>
    </w:rPr>
  </w:style>
  <w:style w:type="paragraph" w:styleId="Footer">
    <w:name w:val="footer"/>
    <w:basedOn w:val="Normal"/>
    <w:link w:val="FooterChar"/>
    <w:uiPriority w:val="99"/>
    <w:unhideWhenUsed/>
    <w:rsid w:val="00A3010E"/>
    <w:pPr>
      <w:tabs>
        <w:tab w:val="center" w:pos="4513"/>
        <w:tab w:val="right" w:pos="9026"/>
      </w:tabs>
    </w:pPr>
  </w:style>
  <w:style w:type="character" w:customStyle="1" w:styleId="FooterChar">
    <w:name w:val="Footer Char"/>
    <w:basedOn w:val="DefaultParagraphFont"/>
    <w:link w:val="Footer"/>
    <w:uiPriority w:val="99"/>
    <w:rsid w:val="00A3010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Okona-Mensah</dc:creator>
  <cp:lastModifiedBy>Sebastian</cp:lastModifiedBy>
  <cp:revision>4</cp:revision>
  <dcterms:created xsi:type="dcterms:W3CDTF">2020-04-02T09:23:00Z</dcterms:created>
  <dcterms:modified xsi:type="dcterms:W3CDTF">2020-04-03T08:33:52Z</dcterms:modified>
  <dc:title>Public and Civic Engagement Strategy (2020-2024)</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Acrobat PDFMaker 17 for Word</vt:lpwstr>
  </property>
  <property fmtid="{D5CDD505-2E9C-101B-9397-08002B2CF9AE}" pid="4" name="LastSaved">
    <vt:filetime>2019-11-26T00:00:00Z</vt:filetime>
  </property>
</Properties>
</file>