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5867" w:rsidR="007D5867" w:rsidP="007D5867" w:rsidRDefault="007D5867" w14:paraId="0186D5A7" w14:textId="77777777">
      <w:pPr>
        <w:jc w:val="right"/>
        <w:rPr>
          <w:rFonts w:asciiTheme="minorHAnsi" w:hAnsiTheme="minorHAnsi" w:cstheme="minorHAnsi"/>
          <w:b/>
          <w:sz w:val="24"/>
          <w:szCs w:val="24"/>
        </w:rPr>
      </w:pPr>
      <w:r w:rsidRPr="007D5867">
        <w:rPr>
          <w:rFonts w:asciiTheme="minorHAnsi" w:hAnsiTheme="minorHAnsi" w:cstheme="minorHAnsi"/>
          <w:noProof/>
          <w:sz w:val="24"/>
          <w:szCs w:val="24"/>
          <w:lang w:val="en-US"/>
        </w:rPr>
        <w:drawing>
          <wp:inline distT="0" distB="0" distL="0" distR="0" wp14:anchorId="3B3570D8" wp14:editId="0C36E11E">
            <wp:extent cx="1714500" cy="746760"/>
            <wp:effectExtent l="0" t="0" r="0" b="0"/>
            <wp:docPr id="1" name="Picture 1"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_b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746760"/>
                    </a:xfrm>
                    <a:prstGeom prst="rect">
                      <a:avLst/>
                    </a:prstGeom>
                    <a:noFill/>
                    <a:ln>
                      <a:noFill/>
                    </a:ln>
                  </pic:spPr>
                </pic:pic>
              </a:graphicData>
            </a:graphic>
          </wp:inline>
        </w:drawing>
      </w:r>
    </w:p>
    <w:p w:rsidRPr="007D5867" w:rsidR="007D5867" w:rsidP="007D5867" w:rsidRDefault="007D5867" w14:paraId="2CBF1BE5" w14:textId="77777777">
      <w:pPr>
        <w:jc w:val="both"/>
        <w:rPr>
          <w:rFonts w:asciiTheme="minorHAnsi" w:hAnsiTheme="minorHAnsi" w:cstheme="minorHAnsi"/>
          <w:b/>
          <w:sz w:val="24"/>
          <w:szCs w:val="24"/>
        </w:rPr>
      </w:pPr>
    </w:p>
    <w:p w:rsidRPr="007D5867" w:rsidR="007D5867" w:rsidP="007D5867" w:rsidRDefault="007D5867" w14:paraId="3A9DEAD2" w14:textId="77777777">
      <w:pPr>
        <w:jc w:val="both"/>
        <w:rPr>
          <w:rFonts w:asciiTheme="minorHAnsi" w:hAnsiTheme="minorHAnsi" w:cstheme="minorHAnsi"/>
          <w:b/>
          <w:sz w:val="24"/>
          <w:szCs w:val="24"/>
        </w:rPr>
      </w:pPr>
      <w:r w:rsidRPr="007D5867">
        <w:rPr>
          <w:rFonts w:asciiTheme="minorHAnsi" w:hAnsiTheme="minorHAnsi" w:cstheme="minorHAnsi"/>
          <w:b/>
          <w:sz w:val="24"/>
          <w:szCs w:val="24"/>
        </w:rPr>
        <w:t>Validation Guidance Note 3</w:t>
      </w:r>
    </w:p>
    <w:p w:rsidRPr="007D5867" w:rsidR="007D5867" w:rsidP="007D5867" w:rsidRDefault="007D5867" w14:paraId="57465C55" w14:textId="036ADD61">
      <w:pPr>
        <w:jc w:val="both"/>
        <w:rPr>
          <w:rFonts w:asciiTheme="minorHAnsi" w:hAnsiTheme="minorHAnsi" w:cstheme="minorHAnsi"/>
          <w:b/>
          <w:sz w:val="24"/>
          <w:szCs w:val="24"/>
        </w:rPr>
      </w:pPr>
      <w:r w:rsidRPr="007D5867">
        <w:rPr>
          <w:rFonts w:asciiTheme="minorHAnsi" w:hAnsiTheme="minorHAnsi" w:cstheme="minorHAnsi"/>
          <w:b/>
          <w:sz w:val="24"/>
          <w:szCs w:val="24"/>
        </w:rPr>
        <w:t xml:space="preserve">Current Fee Levels </w:t>
      </w:r>
      <w:r w:rsidR="002512CE">
        <w:rPr>
          <w:rFonts w:asciiTheme="minorHAnsi" w:hAnsiTheme="minorHAnsi" w:cstheme="minorHAnsi"/>
          <w:b/>
          <w:sz w:val="24"/>
          <w:szCs w:val="24"/>
        </w:rPr>
        <w:t>2022</w:t>
      </w:r>
      <w:r w:rsidR="00CF44EF">
        <w:rPr>
          <w:rFonts w:asciiTheme="minorHAnsi" w:hAnsiTheme="minorHAnsi" w:cstheme="minorHAnsi"/>
          <w:b/>
          <w:sz w:val="24"/>
          <w:szCs w:val="24"/>
        </w:rPr>
        <w:t>/</w:t>
      </w:r>
      <w:r w:rsidR="002512CE">
        <w:rPr>
          <w:rFonts w:asciiTheme="minorHAnsi" w:hAnsiTheme="minorHAnsi" w:cstheme="minorHAnsi"/>
          <w:b/>
          <w:sz w:val="24"/>
          <w:szCs w:val="24"/>
        </w:rPr>
        <w:t>23</w:t>
      </w:r>
    </w:p>
    <w:p w:rsidRPr="007D5867" w:rsidR="007D5867" w:rsidP="007D5867" w:rsidRDefault="007D5867" w14:paraId="41510989" w14:textId="77777777">
      <w:pPr>
        <w:pStyle w:val="Default"/>
        <w:rPr>
          <w:rFonts w:asciiTheme="minorHAnsi" w:hAnsiTheme="minorHAnsi" w:cstheme="minorHAnsi"/>
          <w:b/>
          <w:bCs/>
        </w:rPr>
      </w:pPr>
    </w:p>
    <w:p w:rsidR="0053452A" w:rsidP="0053452A" w:rsidRDefault="0053452A" w14:paraId="5CE7B2BF" w14:textId="77777777">
      <w:pPr>
        <w:pStyle w:val="Default"/>
        <w:rPr>
          <w:rFonts w:asciiTheme="minorHAnsi" w:hAnsiTheme="minorHAnsi" w:cstheme="minorHAnsi"/>
          <w:b/>
          <w:bCs/>
        </w:rPr>
      </w:pPr>
      <w:r w:rsidRPr="007D5867">
        <w:rPr>
          <w:rFonts w:asciiTheme="minorHAnsi" w:hAnsiTheme="minorHAnsi" w:cstheme="minorHAnsi"/>
          <w:b/>
          <w:bCs/>
        </w:rPr>
        <w:t>Fees payable to external panel members by SGUL</w:t>
      </w:r>
      <w:r>
        <w:rPr>
          <w:rFonts w:asciiTheme="minorHAnsi" w:hAnsiTheme="minorHAnsi" w:cstheme="minorHAnsi"/>
          <w:b/>
          <w:bCs/>
        </w:rPr>
        <w:t xml:space="preserve"> (including student reviewers)</w:t>
      </w:r>
    </w:p>
    <w:p w:rsidR="007D5867" w:rsidP="007D5867" w:rsidRDefault="007D5867" w14:paraId="3FC12B65" w14:textId="77777777">
      <w:pPr>
        <w:pStyle w:val="Default"/>
        <w:rPr>
          <w:rFonts w:asciiTheme="minorHAnsi" w:hAnsiTheme="minorHAnsi" w:cstheme="minorHAnsi"/>
          <w:b/>
          <w:bCs/>
        </w:rPr>
      </w:pPr>
    </w:p>
    <w:p w:rsidRPr="007D5867" w:rsidR="00E450A5" w:rsidP="00E450A5" w:rsidRDefault="00E450A5" w14:paraId="70AA8BA5" w14:textId="77777777">
      <w:pPr>
        <w:pStyle w:val="Default"/>
        <w:rPr>
          <w:rFonts w:asciiTheme="minorHAnsi" w:hAnsiTheme="minorHAnsi" w:cstheme="minorHAnsi"/>
        </w:rPr>
      </w:pPr>
      <w:r w:rsidRPr="007D5867">
        <w:rPr>
          <w:rFonts w:asciiTheme="minorHAnsi" w:hAnsiTheme="minorHAnsi" w:cstheme="minorHAnsi"/>
        </w:rPr>
        <w:t xml:space="preserve">Validation panel members and </w:t>
      </w:r>
      <w:r>
        <w:rPr>
          <w:rFonts w:asciiTheme="minorHAnsi" w:hAnsiTheme="minorHAnsi" w:cstheme="minorHAnsi"/>
        </w:rPr>
        <w:t>periodic r</w:t>
      </w:r>
      <w:r w:rsidRPr="007D5867">
        <w:rPr>
          <w:rFonts w:asciiTheme="minorHAnsi" w:hAnsiTheme="minorHAnsi" w:cstheme="minorHAnsi"/>
        </w:rPr>
        <w:t xml:space="preserve">eview panel members </w:t>
      </w:r>
      <w:r>
        <w:rPr>
          <w:rFonts w:asciiTheme="minorHAnsi" w:hAnsiTheme="minorHAnsi" w:cstheme="minorHAnsi"/>
        </w:rPr>
        <w:t>(including student members of periodic review panels) are paid according to the following schedule:</w:t>
      </w:r>
    </w:p>
    <w:p w:rsidR="00E450A5" w:rsidP="00E450A5" w:rsidRDefault="00E450A5" w14:paraId="59BC1D7E" w14:textId="77777777">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519"/>
        <w:gridCol w:w="4497"/>
      </w:tblGrid>
      <w:tr w:rsidRPr="00742AE3" w:rsidR="00E450A5" w:rsidTr="00F62377" w14:paraId="148B7A49" w14:textId="77777777">
        <w:tc>
          <w:tcPr>
            <w:tcW w:w="4621" w:type="dxa"/>
          </w:tcPr>
          <w:p w:rsidRPr="00742AE3" w:rsidR="00E450A5" w:rsidP="00444F3C" w:rsidRDefault="00E450A5" w14:paraId="20C461FD" w14:textId="77777777">
            <w:pPr>
              <w:rPr>
                <w:rFonts w:asciiTheme="minorHAnsi" w:hAnsiTheme="minorHAnsi" w:cstheme="minorHAnsi"/>
                <w:sz w:val="22"/>
                <w:szCs w:val="22"/>
              </w:rPr>
            </w:pPr>
            <w:r w:rsidRPr="00742AE3">
              <w:rPr>
                <w:rFonts w:asciiTheme="minorHAnsi" w:hAnsiTheme="minorHAnsi" w:cstheme="minorHAnsi"/>
                <w:sz w:val="22"/>
                <w:szCs w:val="22"/>
              </w:rPr>
              <w:t>Single module event</w:t>
            </w:r>
          </w:p>
        </w:tc>
        <w:tc>
          <w:tcPr>
            <w:tcW w:w="4621" w:type="dxa"/>
          </w:tcPr>
          <w:p w:rsidRPr="00742AE3" w:rsidR="00E450A5" w:rsidP="00F62377" w:rsidRDefault="00E450A5" w14:paraId="28EFDA03" w14:textId="77777777">
            <w:pPr>
              <w:rPr>
                <w:rFonts w:asciiTheme="minorHAnsi" w:hAnsiTheme="minorHAnsi" w:cstheme="minorHAnsi"/>
                <w:sz w:val="22"/>
                <w:szCs w:val="22"/>
              </w:rPr>
            </w:pPr>
            <w:r w:rsidRPr="00742AE3">
              <w:rPr>
                <w:rFonts w:asciiTheme="minorHAnsi" w:hAnsiTheme="minorHAnsi" w:cstheme="minorHAnsi"/>
                <w:sz w:val="22"/>
                <w:szCs w:val="22"/>
              </w:rPr>
              <w:t xml:space="preserve">£100 </w:t>
            </w:r>
          </w:p>
        </w:tc>
      </w:tr>
      <w:tr w:rsidRPr="00742AE3" w:rsidR="00444F3C" w:rsidTr="00F62377" w14:paraId="31BF39AE" w14:textId="77777777">
        <w:tc>
          <w:tcPr>
            <w:tcW w:w="4621" w:type="dxa"/>
          </w:tcPr>
          <w:p w:rsidRPr="00742AE3" w:rsidR="00444F3C" w:rsidP="00444F3C" w:rsidRDefault="00444F3C" w14:paraId="45DF0A27" w14:textId="77777777">
            <w:pPr>
              <w:rPr>
                <w:rFonts w:asciiTheme="minorHAnsi" w:hAnsiTheme="minorHAnsi" w:cstheme="minorHAnsi"/>
                <w:sz w:val="22"/>
                <w:szCs w:val="22"/>
              </w:rPr>
            </w:pPr>
            <w:r>
              <w:rPr>
                <w:rFonts w:asciiTheme="minorHAnsi" w:hAnsiTheme="minorHAnsi" w:cstheme="minorHAnsi"/>
                <w:sz w:val="22"/>
                <w:szCs w:val="22"/>
              </w:rPr>
              <w:t>H</w:t>
            </w:r>
            <w:r w:rsidRPr="00742AE3">
              <w:rPr>
                <w:rFonts w:asciiTheme="minorHAnsi" w:hAnsiTheme="minorHAnsi" w:cstheme="minorHAnsi"/>
                <w:sz w:val="22"/>
                <w:szCs w:val="22"/>
              </w:rPr>
              <w:t>alf day</w:t>
            </w:r>
            <w:r>
              <w:rPr>
                <w:rFonts w:asciiTheme="minorHAnsi" w:hAnsiTheme="minorHAnsi" w:cstheme="minorHAnsi"/>
                <w:sz w:val="22"/>
                <w:szCs w:val="22"/>
              </w:rPr>
              <w:t xml:space="preserve"> event </w:t>
            </w:r>
          </w:p>
        </w:tc>
        <w:tc>
          <w:tcPr>
            <w:tcW w:w="4621" w:type="dxa"/>
          </w:tcPr>
          <w:p w:rsidRPr="00742AE3" w:rsidR="00444F3C" w:rsidP="00F62377" w:rsidRDefault="00444F3C" w14:paraId="18954686" w14:textId="77777777">
            <w:pPr>
              <w:rPr>
                <w:rFonts w:asciiTheme="minorHAnsi" w:hAnsiTheme="minorHAnsi" w:cstheme="minorHAnsi"/>
                <w:sz w:val="22"/>
                <w:szCs w:val="22"/>
              </w:rPr>
            </w:pPr>
            <w:r>
              <w:rPr>
                <w:rFonts w:asciiTheme="minorHAnsi" w:hAnsiTheme="minorHAnsi" w:cstheme="minorHAnsi"/>
                <w:sz w:val="22"/>
                <w:szCs w:val="22"/>
              </w:rPr>
              <w:t>£250</w:t>
            </w:r>
          </w:p>
        </w:tc>
      </w:tr>
      <w:tr w:rsidRPr="00742AE3" w:rsidR="00E450A5" w:rsidTr="00F62377" w14:paraId="4F3343E9" w14:textId="77777777">
        <w:tc>
          <w:tcPr>
            <w:tcW w:w="4621" w:type="dxa"/>
          </w:tcPr>
          <w:p w:rsidRPr="00742AE3" w:rsidR="00E450A5" w:rsidP="00F62377" w:rsidRDefault="00E450A5" w14:paraId="10148821" w14:textId="77777777">
            <w:pPr>
              <w:rPr>
                <w:rFonts w:asciiTheme="minorHAnsi" w:hAnsiTheme="minorHAnsi" w:cstheme="minorHAnsi"/>
                <w:sz w:val="22"/>
                <w:szCs w:val="22"/>
              </w:rPr>
            </w:pPr>
            <w:r w:rsidRPr="00742AE3">
              <w:rPr>
                <w:rFonts w:asciiTheme="minorHAnsi" w:hAnsiTheme="minorHAnsi" w:cstheme="minorHAnsi"/>
                <w:sz w:val="22"/>
                <w:szCs w:val="22"/>
              </w:rPr>
              <w:t xml:space="preserve">Full day event  </w:t>
            </w:r>
          </w:p>
        </w:tc>
        <w:tc>
          <w:tcPr>
            <w:tcW w:w="4621" w:type="dxa"/>
          </w:tcPr>
          <w:p w:rsidRPr="00742AE3" w:rsidR="00E450A5" w:rsidP="00444F3C" w:rsidRDefault="00E450A5" w14:paraId="7EB70B23" w14:textId="77777777">
            <w:pPr>
              <w:rPr>
                <w:rFonts w:asciiTheme="minorHAnsi" w:hAnsiTheme="minorHAnsi" w:cstheme="minorHAnsi"/>
                <w:sz w:val="22"/>
                <w:szCs w:val="22"/>
              </w:rPr>
            </w:pPr>
            <w:r w:rsidRPr="00742AE3">
              <w:rPr>
                <w:rFonts w:asciiTheme="minorHAnsi" w:hAnsiTheme="minorHAnsi" w:cstheme="minorHAnsi"/>
                <w:bCs/>
                <w:sz w:val="22"/>
                <w:szCs w:val="22"/>
              </w:rPr>
              <w:t>£</w:t>
            </w:r>
            <w:r w:rsidR="00C30179">
              <w:rPr>
                <w:rFonts w:asciiTheme="minorHAnsi" w:hAnsiTheme="minorHAnsi" w:cstheme="minorHAnsi"/>
                <w:bCs/>
                <w:sz w:val="22"/>
                <w:szCs w:val="22"/>
              </w:rPr>
              <w:t>3</w:t>
            </w:r>
            <w:r w:rsidR="00444F3C">
              <w:rPr>
                <w:rFonts w:asciiTheme="minorHAnsi" w:hAnsiTheme="minorHAnsi" w:cstheme="minorHAnsi"/>
                <w:bCs/>
                <w:sz w:val="22"/>
                <w:szCs w:val="22"/>
              </w:rPr>
              <w:t>5</w:t>
            </w:r>
            <w:r w:rsidRPr="00742AE3">
              <w:rPr>
                <w:rFonts w:asciiTheme="minorHAnsi" w:hAnsiTheme="minorHAnsi" w:cstheme="minorHAnsi"/>
                <w:bCs/>
                <w:sz w:val="22"/>
                <w:szCs w:val="22"/>
              </w:rPr>
              <w:t xml:space="preserve">0 </w:t>
            </w:r>
          </w:p>
        </w:tc>
      </w:tr>
      <w:tr w:rsidRPr="00742AE3" w:rsidR="00390328" w:rsidTr="00F62377" w14:paraId="6D5D8373" w14:textId="77777777">
        <w:tc>
          <w:tcPr>
            <w:tcW w:w="4621" w:type="dxa"/>
          </w:tcPr>
          <w:p w:rsidRPr="00742AE3" w:rsidR="00390328" w:rsidP="00F62377" w:rsidRDefault="00390328" w14:paraId="7CC127C5" w14:textId="77777777">
            <w:pPr>
              <w:rPr>
                <w:rFonts w:asciiTheme="minorHAnsi" w:hAnsiTheme="minorHAnsi" w:cstheme="minorHAnsi"/>
                <w:sz w:val="22"/>
                <w:szCs w:val="22"/>
              </w:rPr>
            </w:pPr>
            <w:r>
              <w:rPr>
                <w:rFonts w:asciiTheme="minorHAnsi" w:hAnsiTheme="minorHAnsi" w:cstheme="minorHAnsi"/>
                <w:sz w:val="22"/>
                <w:szCs w:val="22"/>
              </w:rPr>
              <w:t>Two day event</w:t>
            </w:r>
          </w:p>
        </w:tc>
        <w:tc>
          <w:tcPr>
            <w:tcW w:w="4621" w:type="dxa"/>
          </w:tcPr>
          <w:p w:rsidRPr="00742AE3" w:rsidR="00390328" w:rsidP="00C30179" w:rsidRDefault="00390328" w14:paraId="191FA083" w14:textId="77777777">
            <w:pPr>
              <w:rPr>
                <w:rFonts w:asciiTheme="minorHAnsi" w:hAnsiTheme="minorHAnsi" w:cstheme="minorHAnsi"/>
                <w:bCs/>
                <w:sz w:val="22"/>
                <w:szCs w:val="22"/>
              </w:rPr>
            </w:pPr>
            <w:r>
              <w:rPr>
                <w:rFonts w:asciiTheme="minorHAnsi" w:hAnsiTheme="minorHAnsi" w:cstheme="minorHAnsi"/>
                <w:bCs/>
                <w:sz w:val="22"/>
                <w:szCs w:val="22"/>
              </w:rPr>
              <w:t>£</w:t>
            </w:r>
            <w:r w:rsidR="00C30179">
              <w:rPr>
                <w:rFonts w:asciiTheme="minorHAnsi" w:hAnsiTheme="minorHAnsi" w:cstheme="minorHAnsi"/>
                <w:bCs/>
                <w:sz w:val="22"/>
                <w:szCs w:val="22"/>
              </w:rPr>
              <w:t>40</w:t>
            </w:r>
            <w:r>
              <w:rPr>
                <w:rFonts w:asciiTheme="minorHAnsi" w:hAnsiTheme="minorHAnsi" w:cstheme="minorHAnsi"/>
                <w:bCs/>
                <w:sz w:val="22"/>
                <w:szCs w:val="22"/>
              </w:rPr>
              <w:t xml:space="preserve">0 </w:t>
            </w:r>
          </w:p>
        </w:tc>
      </w:tr>
      <w:tr w:rsidRPr="00742AE3" w:rsidR="00E450A5" w:rsidTr="00F62377" w14:paraId="3EBAB39B" w14:textId="77777777">
        <w:tc>
          <w:tcPr>
            <w:tcW w:w="4621" w:type="dxa"/>
          </w:tcPr>
          <w:p w:rsidRPr="00742AE3" w:rsidR="00E450A5" w:rsidP="00F62377" w:rsidRDefault="00E450A5" w14:paraId="3788C605" w14:textId="77777777">
            <w:pPr>
              <w:rPr>
                <w:rFonts w:asciiTheme="minorHAnsi" w:hAnsiTheme="minorHAnsi" w:cstheme="minorHAnsi"/>
                <w:sz w:val="22"/>
                <w:szCs w:val="22"/>
              </w:rPr>
            </w:pPr>
            <w:r w:rsidRPr="00742AE3">
              <w:rPr>
                <w:rFonts w:asciiTheme="minorHAnsi" w:hAnsiTheme="minorHAnsi" w:cstheme="minorHAnsi"/>
                <w:sz w:val="22"/>
                <w:szCs w:val="22"/>
              </w:rPr>
              <w:t>Event involving international travel</w:t>
            </w:r>
          </w:p>
        </w:tc>
        <w:tc>
          <w:tcPr>
            <w:tcW w:w="4621" w:type="dxa"/>
          </w:tcPr>
          <w:p w:rsidRPr="00742AE3" w:rsidR="00E450A5" w:rsidP="004A36FD" w:rsidRDefault="00E450A5" w14:paraId="15216F62" w14:textId="77777777">
            <w:pPr>
              <w:rPr>
                <w:rFonts w:asciiTheme="minorHAnsi" w:hAnsiTheme="minorHAnsi" w:cstheme="minorHAnsi"/>
                <w:sz w:val="22"/>
                <w:szCs w:val="22"/>
              </w:rPr>
            </w:pPr>
            <w:r w:rsidRPr="00742AE3">
              <w:rPr>
                <w:rFonts w:asciiTheme="minorHAnsi" w:hAnsiTheme="minorHAnsi" w:cstheme="minorHAnsi"/>
                <w:sz w:val="22"/>
                <w:szCs w:val="22"/>
              </w:rPr>
              <w:t>£</w:t>
            </w:r>
            <w:r w:rsidR="004A36FD">
              <w:rPr>
                <w:rFonts w:asciiTheme="minorHAnsi" w:hAnsiTheme="minorHAnsi" w:cstheme="minorHAnsi"/>
                <w:sz w:val="22"/>
                <w:szCs w:val="22"/>
              </w:rPr>
              <w:t>55</w:t>
            </w:r>
            <w:r w:rsidRPr="00742AE3">
              <w:rPr>
                <w:rFonts w:asciiTheme="minorHAnsi" w:hAnsiTheme="minorHAnsi" w:cstheme="minorHAnsi"/>
                <w:sz w:val="22"/>
                <w:szCs w:val="22"/>
              </w:rPr>
              <w:t>0</w:t>
            </w:r>
          </w:p>
        </w:tc>
      </w:tr>
    </w:tbl>
    <w:p w:rsidR="00E450A5" w:rsidP="00E450A5" w:rsidRDefault="00E450A5" w14:paraId="1B891335" w14:textId="77777777">
      <w:pPr>
        <w:rPr>
          <w:rFonts w:asciiTheme="minorHAnsi" w:hAnsiTheme="minorHAnsi" w:cstheme="minorHAnsi"/>
          <w:sz w:val="24"/>
          <w:szCs w:val="24"/>
        </w:rPr>
      </w:pPr>
    </w:p>
    <w:p w:rsidRPr="007D5867" w:rsidR="00E450A5" w:rsidP="00E450A5" w:rsidRDefault="00E450A5" w14:paraId="74B2A02F" w14:textId="77777777">
      <w:pPr>
        <w:pStyle w:val="Default"/>
        <w:rPr>
          <w:rFonts w:asciiTheme="minorHAnsi" w:hAnsiTheme="minorHAnsi" w:cstheme="minorHAnsi"/>
        </w:rPr>
      </w:pPr>
      <w:r>
        <w:rPr>
          <w:rFonts w:asciiTheme="minorHAnsi" w:hAnsiTheme="minorHAnsi" w:cstheme="minorHAnsi"/>
        </w:rPr>
        <w:t>Sabbatical officers of the SGSU w</w:t>
      </w:r>
      <w:r w:rsidR="009F1D77">
        <w:rPr>
          <w:rFonts w:asciiTheme="minorHAnsi" w:hAnsiTheme="minorHAnsi" w:cstheme="minorHAnsi"/>
        </w:rPr>
        <w:t xml:space="preserve">ould not normally receive a fee. </w:t>
      </w:r>
    </w:p>
    <w:p w:rsidR="00E450A5" w:rsidP="00E450A5" w:rsidRDefault="00E450A5" w14:paraId="03B8134E" w14:textId="77777777">
      <w:pPr>
        <w:rPr>
          <w:rFonts w:asciiTheme="minorHAnsi" w:hAnsiTheme="minorHAnsi" w:cstheme="minorHAnsi"/>
          <w:sz w:val="24"/>
          <w:szCs w:val="24"/>
        </w:rPr>
      </w:pPr>
    </w:p>
    <w:p w:rsidRPr="00CD3D27" w:rsidR="00E450A5" w:rsidP="00E450A5" w:rsidRDefault="00E450A5" w14:paraId="47C93DED" w14:textId="77777777">
      <w:pPr>
        <w:pStyle w:val="Default"/>
        <w:rPr>
          <w:rFonts w:asciiTheme="minorHAnsi" w:hAnsiTheme="minorHAnsi" w:cstheme="minorHAnsi"/>
        </w:rPr>
      </w:pPr>
      <w:r w:rsidRPr="00CD3D27">
        <w:rPr>
          <w:rFonts w:asciiTheme="minorHAnsi" w:hAnsiTheme="minorHAnsi" w:cstheme="minorHAnsi"/>
          <w:bCs/>
        </w:rPr>
        <w:t xml:space="preserve">SGUL will reimburse panel members for reasonable costs incurred in attending periodic review event. </w:t>
      </w:r>
      <w:r>
        <w:rPr>
          <w:rFonts w:asciiTheme="minorHAnsi" w:hAnsiTheme="minorHAnsi" w:cstheme="minorHAnsi"/>
          <w:bCs/>
        </w:rPr>
        <w:t>Please refer to SGUL’s Financial Regulations for further information.</w:t>
      </w:r>
    </w:p>
    <w:p w:rsidRPr="007D5867" w:rsidR="00E450A5" w:rsidP="007D5867" w:rsidRDefault="00E450A5" w14:paraId="0E59757B" w14:textId="77777777">
      <w:pPr>
        <w:pStyle w:val="Default"/>
        <w:rPr>
          <w:rFonts w:asciiTheme="minorHAnsi" w:hAnsiTheme="minorHAnsi" w:cstheme="minorHAnsi"/>
          <w:b/>
          <w:bCs/>
        </w:rPr>
      </w:pPr>
    </w:p>
    <w:p w:rsidRPr="00E450A5" w:rsidR="007D5867" w:rsidP="007D5867" w:rsidRDefault="007D5867" w14:paraId="18FCB4FF" w14:textId="77777777">
      <w:pPr>
        <w:pStyle w:val="Default"/>
        <w:rPr>
          <w:rFonts w:asciiTheme="minorHAnsi" w:hAnsiTheme="minorHAnsi" w:cstheme="minorHAnsi"/>
          <w:b/>
          <w:bCs/>
        </w:rPr>
      </w:pPr>
      <w:r w:rsidRPr="00E450A5">
        <w:rPr>
          <w:rFonts w:asciiTheme="minorHAnsi" w:hAnsiTheme="minorHAnsi" w:cstheme="minorHAnsi"/>
          <w:b/>
          <w:bCs/>
        </w:rPr>
        <w:t xml:space="preserve">A note on the SGUL’s Anti-Bribery policy and expenses for visits to collaborative partners </w:t>
      </w:r>
    </w:p>
    <w:p w:rsidRPr="007D5867" w:rsidR="007D5867" w:rsidP="007D5867" w:rsidRDefault="007D5867" w14:paraId="31B84ECA" w14:textId="77777777">
      <w:pPr>
        <w:pStyle w:val="Default"/>
        <w:rPr>
          <w:rFonts w:asciiTheme="minorHAnsi" w:hAnsiTheme="minorHAnsi" w:cstheme="minorHAnsi"/>
        </w:rPr>
      </w:pPr>
    </w:p>
    <w:p w:rsidRPr="005044F0" w:rsidR="007D5867" w:rsidP="007D5867" w:rsidRDefault="007D5867" w14:paraId="06B35F0C" w14:textId="77777777">
      <w:pPr>
        <w:pStyle w:val="Default"/>
        <w:rPr>
          <w:rFonts w:asciiTheme="minorHAnsi" w:hAnsiTheme="minorHAnsi" w:cstheme="minorHAnsi"/>
        </w:rPr>
      </w:pPr>
      <w:r w:rsidRPr="005044F0">
        <w:rPr>
          <w:rFonts w:asciiTheme="minorHAnsi" w:hAnsiTheme="minorHAnsi" w:cstheme="minorHAnsi"/>
        </w:rPr>
        <w:t xml:space="preserve">To comply with the Bribery Act 2010, SGUL has produced an Anti-Bribery policy. This is available from </w:t>
      </w:r>
      <w:r w:rsidRPr="005044F0" w:rsidR="005044F0">
        <w:rPr>
          <w:rFonts w:asciiTheme="minorHAnsi" w:hAnsiTheme="minorHAnsi" w:cstheme="minorHAnsi"/>
        </w:rPr>
        <w:t>Governance Legal and Assurance Services</w:t>
      </w:r>
      <w:r w:rsidR="005044F0">
        <w:rPr>
          <w:rFonts w:asciiTheme="minorHAnsi" w:hAnsiTheme="minorHAnsi" w:cstheme="minorHAnsi"/>
        </w:rPr>
        <w:t>.</w:t>
      </w:r>
    </w:p>
    <w:p w:rsidRPr="007D5867" w:rsidR="007D5867" w:rsidP="007D5867" w:rsidRDefault="007D5867" w14:paraId="2A5203A9" w14:textId="77777777">
      <w:pPr>
        <w:pStyle w:val="Default"/>
        <w:rPr>
          <w:rFonts w:asciiTheme="minorHAnsi" w:hAnsiTheme="minorHAnsi" w:cstheme="minorHAnsi"/>
        </w:rPr>
      </w:pPr>
    </w:p>
    <w:p w:rsidR="007D5867" w:rsidP="007D5867" w:rsidRDefault="007D5867" w14:paraId="27633BFE" w14:textId="77777777">
      <w:pPr>
        <w:pStyle w:val="Default"/>
        <w:rPr>
          <w:rFonts w:asciiTheme="minorHAnsi" w:hAnsiTheme="minorHAnsi" w:cstheme="minorHAnsi"/>
        </w:rPr>
      </w:pPr>
      <w:r w:rsidRPr="007D5867">
        <w:rPr>
          <w:rFonts w:asciiTheme="minorHAnsi" w:hAnsiTheme="minorHAnsi" w:cstheme="minorHAnsi"/>
        </w:rPr>
        <w:t xml:space="preserve">The policy contains the following section in relation to hospitality provided by organisations such as prospective collaborative partners. The relevant sections are highlighted in bold: </w:t>
      </w:r>
    </w:p>
    <w:p w:rsidRPr="007D5867" w:rsidR="00870EFE" w:rsidP="007D5867" w:rsidRDefault="00870EFE" w14:paraId="250151B2" w14:textId="77777777">
      <w:pPr>
        <w:pStyle w:val="Default"/>
        <w:rPr>
          <w:rFonts w:asciiTheme="minorHAnsi" w:hAnsiTheme="minorHAnsi" w:cstheme="minorHAnsi"/>
        </w:rPr>
      </w:pPr>
    </w:p>
    <w:p w:rsidRPr="007D5867" w:rsidR="007D5867" w:rsidP="00CD3D27" w:rsidRDefault="007D5867" w14:paraId="3EA7EC03" w14:textId="77777777">
      <w:pPr>
        <w:pStyle w:val="Default"/>
        <w:ind w:left="720"/>
        <w:rPr>
          <w:rFonts w:asciiTheme="minorHAnsi" w:hAnsiTheme="minorHAnsi" w:cstheme="minorHAnsi"/>
          <w:i/>
          <w:iCs/>
        </w:rPr>
      </w:pPr>
      <w:r w:rsidRPr="007D5867">
        <w:rPr>
          <w:rFonts w:asciiTheme="minorHAnsi" w:hAnsiTheme="minorHAnsi" w:cstheme="minorHAnsi"/>
          <w:i/>
          <w:iCs/>
        </w:rPr>
        <w:t xml:space="preserve">The giving or receiving of genuine and proportionate hospitality or expenditure, which seeks to improve SGUL’s image, or better present its services, or establish good relations, continues to be acceptable. Care should be taken in relation to proportionality – for example while it may be acceptable for a prospective partner to pay for reasonable travel and accommodation costs to enable a visit to their premises, </w:t>
      </w:r>
      <w:r w:rsidRPr="007D5867">
        <w:rPr>
          <w:rFonts w:asciiTheme="minorHAnsi" w:hAnsiTheme="minorHAnsi" w:cstheme="minorHAnsi"/>
          <w:b/>
          <w:bCs/>
          <w:i/>
          <w:iCs/>
        </w:rPr>
        <w:t xml:space="preserve">first class flights would not normally be acceptable, nor would 5 star accommodation. </w:t>
      </w:r>
      <w:r w:rsidRPr="007D5867">
        <w:rPr>
          <w:rFonts w:asciiTheme="minorHAnsi" w:hAnsiTheme="minorHAnsi" w:cstheme="minorHAnsi"/>
          <w:i/>
          <w:iCs/>
        </w:rPr>
        <w:t xml:space="preserve">Attention should also be paid not just to the value of an individual expenditure, but the cumulative total from/to any one particular party. For more detailed information see the Expenses and Benefits Policy and the Case Studies in Appendix C. </w:t>
      </w:r>
    </w:p>
    <w:p w:rsidRPr="007D5867" w:rsidR="007D5867" w:rsidP="007D5867" w:rsidRDefault="007D5867" w14:paraId="4B15FA78" w14:textId="77777777">
      <w:pPr>
        <w:pStyle w:val="Default"/>
        <w:rPr>
          <w:rFonts w:asciiTheme="minorHAnsi" w:hAnsiTheme="minorHAnsi" w:cstheme="minorHAnsi"/>
        </w:rPr>
      </w:pPr>
    </w:p>
    <w:p w:rsidRPr="007D5867" w:rsidR="007D5867" w:rsidP="007D5867" w:rsidRDefault="007D5867" w14:paraId="25369D18" w14:textId="77777777">
      <w:pPr>
        <w:pStyle w:val="Default"/>
        <w:rPr>
          <w:rFonts w:asciiTheme="minorHAnsi" w:hAnsiTheme="minorHAnsi" w:cstheme="minorHAnsi"/>
        </w:rPr>
      </w:pPr>
    </w:p>
    <w:sectPr w:rsidRPr="007D5867" w:rsidR="007D5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67"/>
    <w:rsid w:val="002512CE"/>
    <w:rsid w:val="00270265"/>
    <w:rsid w:val="00390328"/>
    <w:rsid w:val="00444F3C"/>
    <w:rsid w:val="004A36FD"/>
    <w:rsid w:val="005044F0"/>
    <w:rsid w:val="0053452A"/>
    <w:rsid w:val="00742AE3"/>
    <w:rsid w:val="007D5867"/>
    <w:rsid w:val="00870EFE"/>
    <w:rsid w:val="00931515"/>
    <w:rsid w:val="009F1D77"/>
    <w:rsid w:val="00C30179"/>
    <w:rsid w:val="00CD3D27"/>
    <w:rsid w:val="00CF44EF"/>
    <w:rsid w:val="00D81DCD"/>
    <w:rsid w:val="00E450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9065"/>
  <w15:docId w15:val="{74032249-AD3C-4FAC-AC67-6DF3B289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67"/>
    <w:pPr>
      <w:spacing w:after="0" w:line="240" w:lineRule="auto"/>
    </w:pPr>
    <w:rPr>
      <w:rFonts w:ascii="Univers" w:eastAsia="Times New Roman" w:hAnsi="Univer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86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5867"/>
    <w:rPr>
      <w:rFonts w:ascii="Tahoma" w:hAnsi="Tahoma" w:cs="Tahoma"/>
      <w:sz w:val="16"/>
      <w:szCs w:val="16"/>
    </w:rPr>
  </w:style>
  <w:style w:type="character" w:customStyle="1" w:styleId="BalloonTextChar">
    <w:name w:val="Balloon Text Char"/>
    <w:basedOn w:val="DefaultParagraphFont"/>
    <w:link w:val="BalloonText"/>
    <w:uiPriority w:val="99"/>
    <w:semiHidden/>
    <w:rsid w:val="007D5867"/>
    <w:rPr>
      <w:rFonts w:ascii="Tahoma" w:eastAsia="Times New Roman" w:hAnsi="Tahoma" w:cs="Tahoma"/>
      <w:sz w:val="16"/>
      <w:szCs w:val="16"/>
    </w:rPr>
  </w:style>
  <w:style w:type="table" w:styleId="TableGrid">
    <w:name w:val="Table Grid"/>
    <w:basedOn w:val="TableNormal"/>
    <w:uiPriority w:val="59"/>
    <w:rsid w:val="00CD3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Giulia Sparacino</cp:lastModifiedBy>
  <cp:revision>4</cp:revision>
  <dcterms:created xsi:type="dcterms:W3CDTF">2019-01-17T09:54:00Z</dcterms:created>
  <dcterms:modified xsi:type="dcterms:W3CDTF">2024-08-01T11:59:39Z</dcterms:modified>
  <dc:title>Appendix A6 Fees</dc:title>
  <cp:keywords>
  </cp:keywords>
  <dc:subject>
  </dc:subject>
</cp:coreProperties>
</file>