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09"/>
        <w:gridCol w:w="3410"/>
        <w:gridCol w:w="3463"/>
        <w:gridCol w:w="3666"/>
      </w:tblGrid>
      <w:tr w:rsidR="00400A26" w:rsidTr="00BE21B0">
        <w:trPr>
          <w:trHeight w:val="8779"/>
        </w:trPr>
        <w:tc>
          <w:tcPr>
            <w:tcW w:w="3543" w:type="dxa"/>
          </w:tcPr>
          <w:p w:rsidRPr="00586939" w:rsidR="00BE21B0" w:rsidP="00BE21B0" w:rsidRDefault="00BE21B0">
            <w:pPr>
              <w:autoSpaceDE w:val="0"/>
              <w:autoSpaceDN w:val="0"/>
              <w:adjustRightInd w:val="0"/>
              <w:rPr>
                <w:rFonts w:ascii="ArialMTStd" w:hAnsi="ArialMTStd" w:cs="ArialMTStd"/>
                <w:sz w:val="18"/>
                <w:szCs w:val="18"/>
                <w:lang w:bidi="th-TH"/>
              </w:rPr>
            </w:pPr>
            <w:r w:rsidRPr="00586939">
              <w:rPr>
                <w:rFonts w:ascii="Arial" w:hAnsi="Arial" w:cs="Arial"/>
                <w:b/>
                <w:bCs/>
                <w:color w:val="1F497D" w:themeColor="text2"/>
                <w:sz w:val="24"/>
                <w:szCs w:val="24"/>
                <w:lang w:bidi="th-TH"/>
              </w:rPr>
              <w:t>DO...</w:t>
            </w:r>
            <w:r w:rsidRPr="00586939">
              <w:rPr>
                <w:rFonts w:ascii="ArialMTStd" w:hAnsi="ArialMTStd" w:cs="ArialMTStd"/>
                <w:sz w:val="18"/>
                <w:szCs w:val="18"/>
                <w:lang w:bidi="th-TH"/>
              </w:rPr>
              <w:t xml:space="preserve"> </w:t>
            </w:r>
          </w:p>
          <w:p w:rsidR="00BE21B0" w:rsidP="00BE21B0" w:rsidRDefault="00BE21B0">
            <w:pPr>
              <w:autoSpaceDE w:val="0"/>
              <w:autoSpaceDN w:val="0"/>
              <w:adjustRightInd w:val="0"/>
              <w:rPr>
                <w:rFonts w:ascii="ArialMTStd" w:hAnsi="ArialMTStd" w:cs="ArialMTStd"/>
                <w:sz w:val="18"/>
                <w:szCs w:val="18"/>
                <w:lang w:bidi="th-TH"/>
              </w:rPr>
            </w:pP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think before you click and ensure personal data is sent securely using the technology available e.g. 7-zip etc.</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ensure data sharing respects the confidentiality of individuals and there is a data sharing agreement in place with the other party</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consider if the disclosure of personal data is within the reasonable expectations of the individual whose</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personal data is involved</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assess that the disclosure, sharing or transfer of personal data is lawful</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make sure you have read and understood the internet and email policies relevant to SGUL and any other</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organisations</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post large attachments to secure folders and inform your audience by email of the file location</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scan email attachments for viruses before you open them</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xml:space="preserve">• only address emails to people who need to know </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include a relevant title for your email message</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make sure you are aware of confidentiality and data sensitivity issues before sending messages</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be sure that information published on a website is accurate and up to date before using it.</w:t>
            </w:r>
          </w:p>
          <w:p w:rsidR="00BE21B0" w:rsidP="00BE21B0" w:rsidRDefault="00BE21B0">
            <w:pPr>
              <w:autoSpaceDE w:val="0"/>
              <w:autoSpaceDN w:val="0"/>
              <w:adjustRightInd w:val="0"/>
              <w:rPr>
                <w:rFonts w:ascii="ArialMTStd" w:hAnsi="ArialMTStd" w:cs="ArialMTStd"/>
                <w:sz w:val="18"/>
                <w:szCs w:val="18"/>
                <w:lang w:bidi="th-TH"/>
              </w:rPr>
            </w:pPr>
          </w:p>
          <w:p w:rsidR="00BE21B0" w:rsidP="00BE21B0" w:rsidRDefault="00BE21B0"/>
        </w:tc>
        <w:tc>
          <w:tcPr>
            <w:tcW w:w="3543" w:type="dxa"/>
          </w:tcPr>
          <w:p w:rsidRPr="00BE21B0" w:rsidR="00BE21B0" w:rsidP="00BE21B0" w:rsidRDefault="00BE21B0">
            <w:pPr>
              <w:autoSpaceDE w:val="0"/>
              <w:autoSpaceDN w:val="0"/>
              <w:adjustRightInd w:val="0"/>
              <w:rPr>
                <w:rFonts w:ascii="Arial" w:hAnsi="Arial" w:cs="Arial"/>
                <w:b/>
                <w:bCs/>
                <w:color w:val="1F497D" w:themeColor="text2"/>
                <w:sz w:val="24"/>
                <w:szCs w:val="24"/>
                <w:lang w:bidi="th-TH"/>
              </w:rPr>
            </w:pPr>
            <w:r w:rsidRPr="00BE21B0">
              <w:rPr>
                <w:rFonts w:ascii="Arial" w:hAnsi="Arial" w:cs="Arial"/>
                <w:b/>
                <w:bCs/>
                <w:color w:val="1F497D" w:themeColor="text2"/>
                <w:sz w:val="24"/>
                <w:szCs w:val="24"/>
                <w:lang w:bidi="th-TH"/>
              </w:rPr>
              <w:t>Principal Investigator Obligations</w:t>
            </w:r>
          </w:p>
          <w:p w:rsidR="00BE21B0" w:rsidP="00BE21B0" w:rsidRDefault="00BE21B0">
            <w:pPr>
              <w:autoSpaceDE w:val="0"/>
              <w:autoSpaceDN w:val="0"/>
              <w:adjustRightInd w:val="0"/>
              <w:rPr>
                <w:rFonts w:ascii="ArialMTStd-Bold" w:hAnsi="ArialMTStd-Bold" w:cs="ArialMTStd-Bold"/>
                <w:b/>
                <w:bCs/>
                <w:color w:val="000000"/>
                <w:sz w:val="18"/>
                <w:szCs w:val="18"/>
                <w:lang w:bidi="th-TH"/>
              </w:rPr>
            </w:pPr>
          </w:p>
          <w:p w:rsidR="00BE21B0" w:rsidP="00BE21B0" w:rsidRDefault="00BE21B0">
            <w:pPr>
              <w:autoSpaceDE w:val="0"/>
              <w:autoSpaceDN w:val="0"/>
              <w:adjustRightInd w:val="0"/>
              <w:rPr>
                <w:rFonts w:ascii="ArialMTStd-Bold" w:hAnsi="ArialMTStd-Bold" w:cs="ArialMTStd-Bold"/>
                <w:b/>
                <w:bCs/>
                <w:color w:val="000000"/>
                <w:sz w:val="18"/>
                <w:szCs w:val="18"/>
                <w:lang w:bidi="th-TH"/>
              </w:rPr>
            </w:pPr>
            <w:r>
              <w:rPr>
                <w:rFonts w:ascii="ArialMTStd-Bold" w:hAnsi="ArialMTStd-Bold" w:cs="ArialMTStd-Bold"/>
                <w:b/>
                <w:bCs/>
                <w:color w:val="000000"/>
                <w:sz w:val="18"/>
                <w:szCs w:val="18"/>
                <w:lang w:bidi="th-TH"/>
              </w:rPr>
              <w:t xml:space="preserve">All research and researchers have a duty of care to comply with legal requirements and with SGUL </w:t>
            </w:r>
          </w:p>
          <w:p w:rsidR="00BE21B0" w:rsidP="00BE21B0" w:rsidRDefault="00BE21B0">
            <w:pPr>
              <w:autoSpaceDE w:val="0"/>
              <w:autoSpaceDN w:val="0"/>
              <w:adjustRightInd w:val="0"/>
              <w:rPr>
                <w:rFonts w:ascii="ArialMTStd-Bold" w:hAnsi="ArialMTStd-Bold" w:cs="ArialMTStd-Bold"/>
                <w:b/>
                <w:bCs/>
                <w:color w:val="000000"/>
                <w:sz w:val="18"/>
                <w:szCs w:val="18"/>
                <w:lang w:bidi="th-TH"/>
              </w:rPr>
            </w:pPr>
            <w:r>
              <w:rPr>
                <w:rFonts w:ascii="ArialMTStd-Bold" w:hAnsi="ArialMTStd-Bold" w:cs="ArialMTStd-Bold"/>
                <w:b/>
                <w:bCs/>
                <w:color w:val="000000"/>
                <w:sz w:val="18"/>
                <w:szCs w:val="18"/>
                <w:lang w:bidi="th-TH"/>
              </w:rPr>
              <w:t>and JRE</w:t>
            </w:r>
            <w:r w:rsidR="00525DD7">
              <w:rPr>
                <w:rFonts w:ascii="ArialMTStd-Bold" w:hAnsi="ArialMTStd-Bold" w:cs="ArialMTStd-Bold"/>
                <w:b/>
                <w:bCs/>
                <w:color w:val="000000"/>
                <w:sz w:val="18"/>
                <w:szCs w:val="18"/>
                <w:lang w:bidi="th-TH"/>
              </w:rPr>
              <w:t>S</w:t>
            </w:r>
            <w:r>
              <w:rPr>
                <w:rFonts w:ascii="ArialMTStd-Bold" w:hAnsi="ArialMTStd-Bold" w:cs="ArialMTStd-Bold"/>
                <w:b/>
                <w:bCs/>
                <w:color w:val="000000"/>
                <w:sz w:val="18"/>
                <w:szCs w:val="18"/>
                <w:lang w:bidi="th-TH"/>
              </w:rPr>
              <w:t xml:space="preserve"> policies, procedures and guidelines.</w:t>
            </w:r>
          </w:p>
          <w:p w:rsidR="00BE21B0" w:rsidP="00BE21B0" w:rsidRDefault="00BE21B0">
            <w:pPr>
              <w:autoSpaceDE w:val="0"/>
              <w:autoSpaceDN w:val="0"/>
              <w:adjustRightInd w:val="0"/>
              <w:rPr>
                <w:rFonts w:ascii="ArialMTStd-Bold" w:hAnsi="ArialMTStd-Bold" w:cs="ArialMTStd-Bold"/>
                <w:b/>
                <w:bCs/>
                <w:color w:val="000000"/>
                <w:sz w:val="18"/>
                <w:szCs w:val="18"/>
                <w:lang w:bidi="th-TH"/>
              </w:rPr>
            </w:pPr>
          </w:p>
          <w:p w:rsidR="00BE21B0" w:rsidP="00BE21B0" w:rsidRDefault="00BE21B0">
            <w:pPr>
              <w:autoSpaceDE w:val="0"/>
              <w:autoSpaceDN w:val="0"/>
              <w:adjustRightInd w:val="0"/>
              <w:rPr>
                <w:rFonts w:ascii="ArialMTStd" w:hAnsi="ArialMTStd" w:cs="ArialMTStd"/>
                <w:color w:val="000000"/>
                <w:sz w:val="18"/>
                <w:szCs w:val="18"/>
                <w:lang w:bidi="th-TH"/>
              </w:rPr>
            </w:pPr>
            <w:r>
              <w:rPr>
                <w:rFonts w:ascii="ArialMTStd" w:hAnsi="ArialMTStd" w:cs="ArialMTStd"/>
                <w:color w:val="000000"/>
                <w:sz w:val="18"/>
                <w:szCs w:val="18"/>
                <w:lang w:bidi="th-TH"/>
              </w:rPr>
              <w:t>Personal or sensitive personal data must be fairly obtained with all appropriate informed consents.</w:t>
            </w:r>
          </w:p>
          <w:p w:rsidR="00BE21B0" w:rsidP="00BE21B0" w:rsidRDefault="00BE21B0">
            <w:pPr>
              <w:autoSpaceDE w:val="0"/>
              <w:autoSpaceDN w:val="0"/>
              <w:adjustRightInd w:val="0"/>
              <w:rPr>
                <w:rFonts w:ascii="ArialMTStd" w:hAnsi="ArialMTStd" w:cs="ArialMTStd"/>
                <w:color w:val="000000"/>
                <w:sz w:val="18"/>
                <w:szCs w:val="18"/>
                <w:lang w:bidi="th-TH"/>
              </w:rPr>
            </w:pPr>
          </w:p>
          <w:p w:rsidR="00BE21B0" w:rsidP="00BE21B0" w:rsidRDefault="00BE21B0">
            <w:pPr>
              <w:autoSpaceDE w:val="0"/>
              <w:autoSpaceDN w:val="0"/>
              <w:adjustRightInd w:val="0"/>
              <w:rPr>
                <w:rFonts w:ascii="ArialMTStd" w:hAnsi="ArialMTStd" w:cs="ArialMTStd"/>
                <w:color w:val="000000"/>
                <w:sz w:val="18"/>
                <w:szCs w:val="18"/>
                <w:lang w:bidi="th-TH"/>
              </w:rPr>
            </w:pPr>
            <w:r>
              <w:rPr>
                <w:rFonts w:ascii="ArialMTStd" w:hAnsi="ArialMTStd" w:cs="ArialMTStd"/>
                <w:color w:val="000000"/>
                <w:sz w:val="18"/>
                <w:szCs w:val="18"/>
                <w:lang w:bidi="th-TH"/>
              </w:rPr>
              <w:t>Transfers of personal or sensitive data outside of the European Economic Area (EEA) must be registered with the SGUL Data Protection Officer, Information Services. The territory should have data protection regulations equivalent to the</w:t>
            </w:r>
          </w:p>
          <w:p w:rsidR="00BE21B0" w:rsidP="00BE21B0" w:rsidRDefault="00BE21B0">
            <w:pPr>
              <w:autoSpaceDE w:val="0"/>
              <w:autoSpaceDN w:val="0"/>
              <w:adjustRightInd w:val="0"/>
              <w:rPr>
                <w:rFonts w:ascii="ArialMTStd" w:hAnsi="ArialMTStd" w:cs="ArialMTStd"/>
                <w:color w:val="000000"/>
                <w:sz w:val="18"/>
                <w:szCs w:val="18"/>
                <w:lang w:bidi="th-TH"/>
              </w:rPr>
            </w:pPr>
            <w:r>
              <w:rPr>
                <w:rFonts w:ascii="ArialMTStd" w:hAnsi="ArialMTStd" w:cs="ArialMTStd"/>
                <w:color w:val="000000"/>
                <w:sz w:val="18"/>
                <w:szCs w:val="18"/>
                <w:lang w:bidi="th-TH"/>
              </w:rPr>
              <w:t xml:space="preserve">UK in place. Failing this a contractual arrangement is required that specifies appropriate information governance obligations for the third party. </w:t>
            </w:r>
          </w:p>
          <w:p w:rsidR="00BE21B0" w:rsidP="00BE21B0" w:rsidRDefault="00BE21B0">
            <w:pPr>
              <w:autoSpaceDE w:val="0"/>
              <w:autoSpaceDN w:val="0"/>
              <w:adjustRightInd w:val="0"/>
              <w:rPr>
                <w:rFonts w:ascii="ArialMTStd" w:hAnsi="ArialMTStd" w:cs="ArialMTStd"/>
                <w:color w:val="000000"/>
                <w:sz w:val="18"/>
                <w:szCs w:val="18"/>
                <w:lang w:bidi="th-TH"/>
              </w:rPr>
            </w:pPr>
          </w:p>
          <w:p w:rsidR="00BE21B0" w:rsidP="00BE21B0" w:rsidRDefault="00BE21B0">
            <w:pPr>
              <w:autoSpaceDE w:val="0"/>
              <w:autoSpaceDN w:val="0"/>
              <w:adjustRightInd w:val="0"/>
              <w:rPr>
                <w:rFonts w:ascii="ArialMTStd" w:hAnsi="ArialMTStd" w:cs="ArialMTStd"/>
                <w:color w:val="000000"/>
                <w:sz w:val="18"/>
                <w:szCs w:val="18"/>
                <w:lang w:bidi="th-TH"/>
              </w:rPr>
            </w:pPr>
            <w:r>
              <w:rPr>
                <w:rFonts w:ascii="ArialMTStd" w:hAnsi="ArialMTStd" w:cs="ArialMTStd"/>
                <w:color w:val="000000"/>
                <w:sz w:val="18"/>
                <w:szCs w:val="18"/>
                <w:lang w:bidi="th-TH"/>
              </w:rPr>
              <w:t>Personal data can also be securely protected using encryption,</w:t>
            </w:r>
          </w:p>
          <w:p w:rsidR="00BE21B0" w:rsidP="00BE21B0" w:rsidRDefault="00BE21B0">
            <w:pPr>
              <w:rPr>
                <w:rFonts w:ascii="ArialMTStd" w:hAnsi="ArialMTStd" w:cs="ArialMTStd"/>
                <w:color w:val="000000"/>
                <w:sz w:val="18"/>
                <w:szCs w:val="18"/>
                <w:lang w:bidi="th-TH"/>
              </w:rPr>
            </w:pPr>
            <w:r>
              <w:rPr>
                <w:rFonts w:ascii="ArialMTStd" w:hAnsi="ArialMTStd" w:cs="ArialMTStd"/>
                <w:color w:val="000000"/>
                <w:sz w:val="18"/>
                <w:szCs w:val="18"/>
                <w:lang w:bidi="th-TH"/>
              </w:rPr>
              <w:t>pseudonymisation and anonymisation techniques.</w:t>
            </w:r>
          </w:p>
          <w:p w:rsidR="00BE21B0" w:rsidP="00BE21B0" w:rsidRDefault="00BE21B0">
            <w:pPr>
              <w:rPr>
                <w:rFonts w:ascii="ArialMTStd" w:hAnsi="ArialMTStd" w:cs="ArialMTStd"/>
                <w:color w:val="000000"/>
                <w:sz w:val="18"/>
                <w:szCs w:val="18"/>
                <w:lang w:bidi="th-TH"/>
              </w:rPr>
            </w:pPr>
          </w:p>
          <w:p w:rsidRPr="00EA65A1" w:rsidR="00BE21B0" w:rsidP="00BE21B0" w:rsidRDefault="00BE21B0">
            <w:pPr>
              <w:autoSpaceDE w:val="0"/>
              <w:autoSpaceDN w:val="0"/>
              <w:adjustRightInd w:val="0"/>
              <w:rPr>
                <w:rFonts w:ascii="ArialMTStd-Bold" w:hAnsi="ArialMTStd-Bold" w:cs="ArialMTStd-Bold"/>
                <w:b/>
                <w:bCs/>
                <w:color w:val="1F497D" w:themeColor="text2"/>
                <w:sz w:val="24"/>
                <w:szCs w:val="24"/>
                <w:lang w:bidi="th-TH"/>
              </w:rPr>
            </w:pPr>
            <w:r w:rsidRPr="00EA65A1">
              <w:rPr>
                <w:rFonts w:ascii="ArialMTStd-Bold" w:hAnsi="ArialMTStd-Bold" w:cs="ArialMTStd-Bold"/>
                <w:b/>
                <w:bCs/>
                <w:color w:val="1F497D" w:themeColor="text2"/>
                <w:sz w:val="24"/>
                <w:szCs w:val="24"/>
                <w:lang w:bidi="th-TH"/>
              </w:rPr>
              <w:t>Caution Matching Datasets</w:t>
            </w:r>
          </w:p>
          <w:p w:rsidR="00BE21B0" w:rsidP="00BE21B0" w:rsidRDefault="00BE21B0">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xml:space="preserve"> </w:t>
            </w:r>
          </w:p>
          <w:p w:rsidRPr="00BE21B0" w:rsidR="00BE21B0" w:rsidP="00BE21B0" w:rsidRDefault="00BE21B0">
            <w:pPr>
              <w:autoSpaceDE w:val="0"/>
              <w:autoSpaceDN w:val="0"/>
              <w:adjustRightInd w:val="0"/>
              <w:rPr>
                <w:rFonts w:ascii="ArialMTStd" w:hAnsi="ArialMTStd" w:cs="ArialMTStd"/>
                <w:sz w:val="18"/>
                <w:szCs w:val="18"/>
                <w:lang w:bidi="th-TH"/>
              </w:rPr>
            </w:pPr>
            <w:r w:rsidRPr="00BE21B0">
              <w:rPr>
                <w:rFonts w:ascii="ArialMTStd" w:hAnsi="ArialMTStd" w:cs="ArialMTStd"/>
                <w:sz w:val="18"/>
                <w:szCs w:val="18"/>
                <w:lang w:bidi="th-TH"/>
              </w:rPr>
              <w:t>If matching with other datasets, take care that importing</w:t>
            </w:r>
            <w:r>
              <w:rPr>
                <w:rFonts w:ascii="ArialMTStd" w:hAnsi="ArialMTStd" w:cs="ArialMTStd"/>
                <w:sz w:val="18"/>
                <w:szCs w:val="18"/>
                <w:lang w:bidi="th-TH"/>
              </w:rPr>
              <w:t xml:space="preserve"> </w:t>
            </w:r>
            <w:r w:rsidRPr="00BE21B0">
              <w:rPr>
                <w:rFonts w:ascii="ArialMTStd" w:hAnsi="ArialMTStd" w:cs="ArialMTStd"/>
                <w:sz w:val="18"/>
                <w:szCs w:val="18"/>
                <w:lang w:bidi="th-TH"/>
              </w:rPr>
              <w:t>rare medical conditions, ethnicity and postcode data can</w:t>
            </w:r>
          </w:p>
          <w:p w:rsidRPr="00BE21B0" w:rsidR="00BE21B0" w:rsidP="00BE21B0" w:rsidRDefault="00BE21B0">
            <w:pPr>
              <w:autoSpaceDE w:val="0"/>
              <w:autoSpaceDN w:val="0"/>
              <w:adjustRightInd w:val="0"/>
              <w:rPr>
                <w:rFonts w:ascii="ArialMTStd" w:hAnsi="ArialMTStd" w:cs="ArialMTStd"/>
                <w:sz w:val="18"/>
                <w:szCs w:val="18"/>
                <w:lang w:bidi="th-TH"/>
              </w:rPr>
            </w:pPr>
            <w:r w:rsidRPr="00BE21B0">
              <w:rPr>
                <w:rFonts w:ascii="ArialMTStd" w:hAnsi="ArialMTStd" w:cs="ArialMTStd"/>
                <w:sz w:val="18"/>
                <w:szCs w:val="18"/>
                <w:lang w:bidi="th-TH"/>
              </w:rPr>
              <w:t>potentially make it personal sensitive data and that the</w:t>
            </w:r>
            <w:r>
              <w:rPr>
                <w:rFonts w:ascii="ArialMTStd" w:hAnsi="ArialMTStd" w:cs="ArialMTStd"/>
                <w:sz w:val="18"/>
                <w:szCs w:val="18"/>
                <w:lang w:bidi="th-TH"/>
              </w:rPr>
              <w:t xml:space="preserve"> </w:t>
            </w:r>
            <w:r w:rsidRPr="00BE21B0">
              <w:rPr>
                <w:rFonts w:ascii="ArialMTStd" w:hAnsi="ArialMTStd" w:cs="ArialMTStd"/>
                <w:sz w:val="18"/>
                <w:szCs w:val="18"/>
                <w:lang w:bidi="th-TH"/>
              </w:rPr>
              <w:t>security controls are appropriate. There may be a need</w:t>
            </w:r>
          </w:p>
          <w:p w:rsidR="00BE21B0" w:rsidP="00BE21B0" w:rsidRDefault="00BE21B0">
            <w:r w:rsidRPr="00BE21B0">
              <w:rPr>
                <w:rFonts w:ascii="ArialMTStd" w:hAnsi="ArialMTStd" w:cs="ArialMTStd"/>
                <w:sz w:val="18"/>
                <w:szCs w:val="18"/>
                <w:lang w:bidi="th-TH"/>
              </w:rPr>
              <w:t>to encrypt or de-identify the data.</w:t>
            </w:r>
          </w:p>
        </w:tc>
        <w:tc>
          <w:tcPr>
            <w:tcW w:w="3544" w:type="dxa"/>
          </w:tcPr>
          <w:p w:rsidRPr="001F34E2" w:rsidR="001F34E2" w:rsidP="001F34E2" w:rsidRDefault="001F34E2">
            <w:pPr>
              <w:autoSpaceDE w:val="0"/>
              <w:autoSpaceDN w:val="0"/>
              <w:adjustRightInd w:val="0"/>
              <w:rPr>
                <w:rFonts w:ascii="Arial" w:hAnsi="Arial" w:cs="Arial"/>
                <w:b/>
                <w:bCs/>
                <w:color w:val="1F497D" w:themeColor="text2"/>
                <w:sz w:val="24"/>
                <w:szCs w:val="24"/>
                <w:lang w:bidi="th-TH"/>
              </w:rPr>
            </w:pPr>
            <w:r w:rsidRPr="001F34E2">
              <w:rPr>
                <w:rFonts w:ascii="Arial" w:hAnsi="Arial" w:cs="Arial"/>
                <w:b/>
                <w:bCs/>
                <w:color w:val="1F497D" w:themeColor="text2"/>
                <w:sz w:val="24"/>
                <w:szCs w:val="24"/>
                <w:lang w:bidi="th-TH"/>
              </w:rPr>
              <w:t>Data Protection Act</w:t>
            </w:r>
          </w:p>
          <w:p w:rsidR="001F34E2" w:rsidP="001F34E2" w:rsidRDefault="001F34E2">
            <w:pPr>
              <w:autoSpaceDE w:val="0"/>
              <w:autoSpaceDN w:val="0"/>
              <w:adjustRightInd w:val="0"/>
              <w:rPr>
                <w:rFonts w:ascii="Arial" w:hAnsi="Arial" w:cs="Arial"/>
                <w:b/>
                <w:bCs/>
                <w:color w:val="1F497D" w:themeColor="text2"/>
                <w:sz w:val="24"/>
                <w:szCs w:val="24"/>
                <w:lang w:bidi="th-TH"/>
              </w:rPr>
            </w:pPr>
          </w:p>
          <w:p w:rsidR="001F34E2" w:rsidP="001F34E2" w:rsidRDefault="001F34E2">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xml:space="preserve">Researchers should be aware that they must comply with the Data Protection Act </w:t>
            </w:r>
            <w:r w:rsidR="00525DD7">
              <w:rPr>
                <w:rFonts w:ascii="ArialMTStd" w:hAnsi="ArialMTStd" w:cs="ArialMTStd"/>
                <w:sz w:val="18"/>
                <w:szCs w:val="18"/>
                <w:lang w:bidi="th-TH"/>
              </w:rPr>
              <w:t>2018 and ensure</w:t>
            </w:r>
            <w:r>
              <w:rPr>
                <w:rFonts w:ascii="ArialMTStd" w:hAnsi="ArialMTStd" w:cs="ArialMTStd"/>
                <w:sz w:val="18"/>
                <w:szCs w:val="18"/>
                <w:lang w:bidi="th-TH"/>
              </w:rPr>
              <w:t xml:space="preserve"> appropriate information security </w:t>
            </w:r>
            <w:r w:rsidR="00525DD7">
              <w:rPr>
                <w:rFonts w:ascii="ArialMTStd" w:hAnsi="ArialMTStd" w:cs="ArialMTStd"/>
                <w:sz w:val="18"/>
                <w:szCs w:val="18"/>
                <w:lang w:bidi="th-TH"/>
              </w:rPr>
              <w:t>is</w:t>
            </w:r>
            <w:r>
              <w:rPr>
                <w:rFonts w:ascii="ArialMTStd" w:hAnsi="ArialMTStd" w:cs="ArialMTStd"/>
                <w:sz w:val="18"/>
                <w:szCs w:val="18"/>
                <w:lang w:bidi="th-TH"/>
              </w:rPr>
              <w:t xml:space="preserve"> in place. A contravention of the data protection principles can</w:t>
            </w:r>
            <w:r w:rsidR="00525DD7">
              <w:rPr>
                <w:rFonts w:ascii="ArialMTStd" w:hAnsi="ArialMTStd" w:cs="ArialMTStd"/>
                <w:sz w:val="18"/>
                <w:szCs w:val="18"/>
                <w:lang w:bidi="th-TH"/>
              </w:rPr>
              <w:t xml:space="preserve"> </w:t>
            </w:r>
            <w:r>
              <w:rPr>
                <w:rFonts w:ascii="ArialMTStd" w:hAnsi="ArialMTStd" w:cs="ArialMTStd"/>
                <w:sz w:val="18"/>
                <w:szCs w:val="18"/>
                <w:lang w:bidi="th-TH"/>
              </w:rPr>
              <w:t>result in a penalty of up to £</w:t>
            </w:r>
            <w:r w:rsidR="00525DD7">
              <w:rPr>
                <w:rFonts w:ascii="ArialMTStd" w:hAnsi="ArialMTStd" w:cs="ArialMTStd"/>
                <w:sz w:val="18"/>
                <w:szCs w:val="18"/>
                <w:lang w:bidi="th-TH"/>
              </w:rPr>
              <w:t>17M</w:t>
            </w:r>
            <w:r>
              <w:rPr>
                <w:rFonts w:ascii="ArialMTStd" w:hAnsi="ArialMTStd" w:cs="ArialMTStd"/>
                <w:sz w:val="18"/>
                <w:szCs w:val="18"/>
                <w:lang w:bidi="th-TH"/>
              </w:rPr>
              <w:t>.</w:t>
            </w:r>
          </w:p>
          <w:p w:rsidR="001F34E2" w:rsidP="001F34E2" w:rsidRDefault="001F34E2">
            <w:pPr>
              <w:autoSpaceDE w:val="0"/>
              <w:autoSpaceDN w:val="0"/>
              <w:adjustRightInd w:val="0"/>
              <w:rPr>
                <w:rFonts w:ascii="ArialMTStd-Bold" w:hAnsi="ArialMTStd-Bold" w:cs="ArialMTStd-Bold"/>
                <w:b/>
                <w:bCs/>
                <w:sz w:val="18"/>
                <w:szCs w:val="18"/>
                <w:lang w:bidi="th-TH"/>
              </w:rPr>
            </w:pPr>
          </w:p>
          <w:p w:rsidR="001F34E2" w:rsidP="001F34E2" w:rsidRDefault="001F34E2">
            <w:pPr>
              <w:autoSpaceDE w:val="0"/>
              <w:autoSpaceDN w:val="0"/>
              <w:adjustRightInd w:val="0"/>
              <w:rPr>
                <w:rFonts w:ascii="ArialMTStd-Bold" w:hAnsi="ArialMTStd-Bold" w:cs="ArialMTStd-Bold"/>
                <w:b/>
                <w:bCs/>
                <w:sz w:val="18"/>
                <w:szCs w:val="18"/>
                <w:lang w:bidi="th-TH"/>
              </w:rPr>
            </w:pPr>
            <w:r>
              <w:rPr>
                <w:rFonts w:ascii="ArialMTStd-Bold" w:hAnsi="ArialMTStd-Bold" w:cs="ArialMTStd-Bold"/>
                <w:b/>
                <w:bCs/>
                <w:sz w:val="18"/>
                <w:szCs w:val="18"/>
                <w:lang w:bidi="th-TH"/>
              </w:rPr>
              <w:t>If you lose personal or sensitive personal data you can face a fine of up to £</w:t>
            </w:r>
            <w:r w:rsidR="00525DD7">
              <w:rPr>
                <w:rFonts w:ascii="ArialMTStd-Bold" w:hAnsi="ArialMTStd-Bold" w:cs="ArialMTStd-Bold"/>
                <w:b/>
                <w:bCs/>
                <w:sz w:val="18"/>
                <w:szCs w:val="18"/>
                <w:lang w:bidi="th-TH"/>
              </w:rPr>
              <w:t xml:space="preserve">17M </w:t>
            </w:r>
            <w:r>
              <w:rPr>
                <w:rFonts w:ascii="ArialMTStd-Bold" w:hAnsi="ArialMTStd-Bold" w:cs="ArialMTStd-Bold"/>
                <w:b/>
                <w:bCs/>
                <w:sz w:val="18"/>
                <w:szCs w:val="18"/>
                <w:lang w:bidi="th-TH"/>
              </w:rPr>
              <w:t>from the Information</w:t>
            </w:r>
          </w:p>
          <w:p w:rsidR="001F34E2" w:rsidP="001F34E2" w:rsidRDefault="001F34E2">
            <w:pPr>
              <w:autoSpaceDE w:val="0"/>
              <w:autoSpaceDN w:val="0"/>
              <w:adjustRightInd w:val="0"/>
              <w:rPr>
                <w:rFonts w:ascii="Arial" w:hAnsi="Arial" w:cs="Arial"/>
                <w:b/>
                <w:bCs/>
                <w:color w:val="1F497D" w:themeColor="text2"/>
                <w:sz w:val="24"/>
                <w:szCs w:val="24"/>
                <w:lang w:bidi="th-TH"/>
              </w:rPr>
            </w:pPr>
            <w:r>
              <w:rPr>
                <w:rFonts w:ascii="ArialMTStd-Bold" w:hAnsi="ArialMTStd-Bold" w:cs="ArialMTStd-Bold"/>
                <w:b/>
                <w:bCs/>
                <w:sz w:val="18"/>
                <w:szCs w:val="18"/>
                <w:lang w:bidi="th-TH"/>
              </w:rPr>
              <w:t>Commissioner’s Office (ICO).</w:t>
            </w:r>
          </w:p>
          <w:p w:rsidR="001F34E2" w:rsidP="001F34E2" w:rsidRDefault="001F34E2">
            <w:pPr>
              <w:autoSpaceDE w:val="0"/>
              <w:autoSpaceDN w:val="0"/>
              <w:adjustRightInd w:val="0"/>
              <w:rPr>
                <w:rFonts w:ascii="Arial" w:hAnsi="Arial" w:cs="Arial"/>
                <w:b/>
                <w:bCs/>
                <w:color w:val="1F497D" w:themeColor="text2"/>
                <w:sz w:val="24"/>
                <w:szCs w:val="24"/>
                <w:lang w:bidi="th-TH"/>
              </w:rPr>
            </w:pPr>
          </w:p>
          <w:p w:rsidR="001F34E2" w:rsidP="001F34E2" w:rsidRDefault="001F34E2">
            <w:pPr>
              <w:autoSpaceDE w:val="0"/>
              <w:autoSpaceDN w:val="0"/>
              <w:adjustRightInd w:val="0"/>
              <w:rPr>
                <w:rFonts w:ascii="Arial" w:hAnsi="Arial" w:cs="Arial"/>
                <w:b/>
                <w:bCs/>
                <w:color w:val="1F497D" w:themeColor="text2"/>
                <w:sz w:val="24"/>
                <w:szCs w:val="24"/>
                <w:lang w:bidi="th-TH"/>
              </w:rPr>
            </w:pPr>
          </w:p>
          <w:p w:rsidRPr="001F34E2" w:rsidR="001F34E2" w:rsidP="001F34E2" w:rsidRDefault="00400A26">
            <w:pPr>
              <w:autoSpaceDE w:val="0"/>
              <w:autoSpaceDN w:val="0"/>
              <w:adjustRightInd w:val="0"/>
              <w:rPr>
                <w:rFonts w:ascii="Arial" w:hAnsi="Arial" w:cs="Arial"/>
                <w:b/>
                <w:bCs/>
                <w:color w:val="1F497D" w:themeColor="text2"/>
                <w:sz w:val="24"/>
                <w:szCs w:val="24"/>
                <w:lang w:bidi="th-TH"/>
              </w:rPr>
            </w:pPr>
            <w:r>
              <w:rPr>
                <w:rFonts w:ascii="Arial" w:hAnsi="Arial" w:cs="Arial"/>
                <w:b/>
                <w:bCs/>
                <w:color w:val="1F497D" w:themeColor="text2"/>
                <w:sz w:val="24"/>
                <w:szCs w:val="24"/>
                <w:lang w:bidi="th-TH"/>
              </w:rPr>
              <w:t>Incident Reporting</w:t>
            </w:r>
          </w:p>
          <w:p w:rsidR="001F34E2" w:rsidP="001F34E2" w:rsidRDefault="001F34E2">
            <w:pPr>
              <w:autoSpaceDE w:val="0"/>
              <w:autoSpaceDN w:val="0"/>
              <w:adjustRightInd w:val="0"/>
              <w:rPr>
                <w:rFonts w:ascii="ArialMTStd" w:hAnsi="ArialMTStd" w:cs="ArialMTStd"/>
                <w:sz w:val="18"/>
                <w:szCs w:val="18"/>
                <w:lang w:bidi="th-TH"/>
              </w:rPr>
            </w:pPr>
          </w:p>
          <w:p w:rsidR="00400A26" w:rsidP="001F34E2" w:rsidRDefault="001F34E2">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A</w:t>
            </w:r>
            <w:r w:rsidR="00400A26">
              <w:rPr>
                <w:rFonts w:ascii="ArialMTStd" w:hAnsi="ArialMTStd" w:cs="ArialMTStd"/>
                <w:sz w:val="18"/>
                <w:szCs w:val="18"/>
                <w:lang w:bidi="th-TH"/>
              </w:rPr>
              <w:t xml:space="preserve">n information security incident involves an event that impacts the confidentiality, integrity or availability of SGUL’s data. All such incidents must be reported to </w:t>
            </w:r>
            <w:hyperlink w:history="1" r:id="rId6">
              <w:r w:rsidR="0000027D">
                <w:rPr>
                  <w:rStyle w:val="Hyperlink"/>
                  <w:rFonts w:ascii="ArialMTStd" w:hAnsi="ArialMTStd" w:cs="ArialMTStd"/>
                  <w:sz w:val="18"/>
                  <w:szCs w:val="18"/>
                  <w:lang w:bidi="th-TH"/>
                </w:rPr>
                <w:t>DataProtection@sgul.ac.uk</w:t>
              </w:r>
            </w:hyperlink>
            <w:r w:rsidR="00400A26">
              <w:rPr>
                <w:rFonts w:ascii="ArialMTStd" w:hAnsi="ArialMTStd" w:cs="ArialMTStd"/>
                <w:sz w:val="18"/>
                <w:szCs w:val="18"/>
                <w:lang w:bidi="th-TH"/>
              </w:rPr>
              <w:t xml:space="preserve"> and the </w:t>
            </w:r>
            <w:r w:rsidR="00525DD7">
              <w:rPr>
                <w:rFonts w:ascii="ArialMTStd" w:hAnsi="ArialMTStd" w:cs="ArialMTStd"/>
                <w:sz w:val="18"/>
                <w:szCs w:val="18"/>
                <w:lang w:bidi="th-TH"/>
              </w:rPr>
              <w:t>Data Protection Officer</w:t>
            </w:r>
            <w:r w:rsidR="00400A26">
              <w:rPr>
                <w:rFonts w:ascii="ArialMTStd" w:hAnsi="ArialMTStd" w:cs="ArialMTStd"/>
                <w:sz w:val="18"/>
                <w:szCs w:val="18"/>
                <w:lang w:bidi="th-TH"/>
              </w:rPr>
              <w:t xml:space="preserve">. This process will inform the Senior Information Risk Owner and the </w:t>
            </w:r>
            <w:r w:rsidR="00C55D9B">
              <w:rPr>
                <w:rFonts w:ascii="ArialMTStd" w:hAnsi="ArialMTStd" w:cs="ArialMTStd"/>
                <w:sz w:val="18"/>
                <w:szCs w:val="18"/>
                <w:lang w:bidi="th-TH"/>
              </w:rPr>
              <w:t>relevant</w:t>
            </w:r>
            <w:r w:rsidR="00400A26">
              <w:rPr>
                <w:rFonts w:ascii="ArialMTStd" w:hAnsi="ArialMTStd" w:cs="ArialMTStd"/>
                <w:sz w:val="18"/>
                <w:szCs w:val="18"/>
                <w:lang w:bidi="th-TH"/>
              </w:rPr>
              <w:t xml:space="preserve"> IG Leads.</w:t>
            </w:r>
          </w:p>
          <w:p w:rsidR="00400A26" w:rsidP="001F34E2" w:rsidRDefault="00400A26">
            <w:pPr>
              <w:autoSpaceDE w:val="0"/>
              <w:autoSpaceDN w:val="0"/>
              <w:adjustRightInd w:val="0"/>
              <w:rPr>
                <w:rFonts w:ascii="ArialMTStd" w:hAnsi="ArialMTStd" w:cs="ArialMTStd"/>
                <w:sz w:val="18"/>
                <w:szCs w:val="18"/>
                <w:lang w:bidi="th-TH"/>
              </w:rPr>
            </w:pPr>
          </w:p>
          <w:p w:rsidR="001F34E2" w:rsidP="001F34E2" w:rsidRDefault="00400A26">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The incident must be reported as soon as possible to conform with requirements set by the Information Commissioner’s Office</w:t>
            </w:r>
            <w:r w:rsidR="001F34E2">
              <w:rPr>
                <w:rFonts w:ascii="ArialMTStd" w:hAnsi="ArialMTStd" w:cs="ArialMTStd"/>
                <w:sz w:val="18"/>
                <w:szCs w:val="18"/>
                <w:lang w:bidi="th-TH"/>
              </w:rPr>
              <w:t>.</w:t>
            </w:r>
          </w:p>
          <w:p w:rsidR="001F34E2" w:rsidP="001F34E2" w:rsidRDefault="001F34E2">
            <w:pPr>
              <w:autoSpaceDE w:val="0"/>
              <w:autoSpaceDN w:val="0"/>
              <w:adjustRightInd w:val="0"/>
              <w:rPr>
                <w:rFonts w:ascii="ArialMTStd" w:hAnsi="ArialMTStd" w:cs="ArialMTStd"/>
                <w:sz w:val="18"/>
                <w:szCs w:val="18"/>
                <w:lang w:bidi="th-TH"/>
              </w:rPr>
            </w:pPr>
          </w:p>
          <w:p w:rsidR="00BE21B0" w:rsidP="00525DD7" w:rsidRDefault="00BE21B0">
            <w:pPr>
              <w:autoSpaceDE w:val="0"/>
              <w:autoSpaceDN w:val="0"/>
              <w:adjustRightInd w:val="0"/>
            </w:pPr>
          </w:p>
        </w:tc>
        <w:tc>
          <w:tcPr>
            <w:tcW w:w="3544" w:type="dxa"/>
          </w:tcPr>
          <w:p w:rsidR="00BE21B0" w:rsidRDefault="006366FC">
            <w:pPr>
              <w:rPr>
                <w:rFonts w:ascii="Arial" w:hAnsi="Arial" w:cs="Arial"/>
                <w:b/>
                <w:bCs/>
                <w:sz w:val="24"/>
                <w:szCs w:val="24"/>
              </w:rPr>
            </w:pPr>
            <w:r>
              <w:rPr>
                <w:rFonts w:ascii="Arial" w:hAnsi="Arial" w:cs="Arial"/>
                <w:b/>
                <w:bCs/>
                <w:noProof/>
                <w:sz w:val="24"/>
                <w:szCs w:val="24"/>
                <w:lang w:val="en-US"/>
              </w:rPr>
              <w:drawing>
                <wp:inline distT="0" distB="0" distL="0" distR="0">
                  <wp:extent cx="2165862" cy="1009650"/>
                  <wp:effectExtent l="19050" t="0" r="583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69216" cy="1011214"/>
                          </a:xfrm>
                          <a:prstGeom prst="rect">
                            <a:avLst/>
                          </a:prstGeom>
                          <a:noFill/>
                          <a:ln w="9525">
                            <a:noFill/>
                            <a:miter lim="800000"/>
                            <a:headEnd/>
                            <a:tailEnd/>
                          </a:ln>
                        </pic:spPr>
                      </pic:pic>
                    </a:graphicData>
                  </a:graphic>
                </wp:inline>
              </w:drawing>
            </w:r>
          </w:p>
          <w:p w:rsidR="00BE21B0" w:rsidRDefault="00BE21B0">
            <w:pPr>
              <w:rPr>
                <w:rFonts w:ascii="Arial" w:hAnsi="Arial" w:cs="Arial"/>
                <w:b/>
                <w:bCs/>
                <w:sz w:val="24"/>
                <w:szCs w:val="24"/>
              </w:rPr>
            </w:pPr>
          </w:p>
          <w:p w:rsidR="00BE21B0" w:rsidRDefault="00BE21B0">
            <w:pPr>
              <w:rPr>
                <w:rFonts w:ascii="Arial" w:hAnsi="Arial" w:cs="Arial"/>
                <w:b/>
                <w:bCs/>
                <w:sz w:val="24"/>
                <w:szCs w:val="24"/>
              </w:rPr>
            </w:pPr>
          </w:p>
          <w:p w:rsidR="00BE21B0" w:rsidRDefault="00BE21B0">
            <w:pPr>
              <w:rPr>
                <w:rFonts w:ascii="Arial" w:hAnsi="Arial" w:cs="Arial"/>
                <w:b/>
                <w:bCs/>
                <w:sz w:val="24"/>
                <w:szCs w:val="24"/>
              </w:rPr>
            </w:pPr>
          </w:p>
          <w:p w:rsidR="00BE21B0" w:rsidRDefault="00BE21B0">
            <w:pPr>
              <w:rPr>
                <w:rFonts w:ascii="Arial" w:hAnsi="Arial" w:cs="Arial"/>
                <w:b/>
                <w:bCs/>
                <w:sz w:val="24"/>
                <w:szCs w:val="24"/>
              </w:rPr>
            </w:pPr>
          </w:p>
          <w:p w:rsidR="00BE21B0" w:rsidRDefault="00BE21B0">
            <w:pPr>
              <w:rPr>
                <w:rFonts w:ascii="Arial" w:hAnsi="Arial" w:cs="Arial"/>
                <w:b/>
                <w:bCs/>
                <w:sz w:val="24"/>
                <w:szCs w:val="24"/>
              </w:rPr>
            </w:pPr>
          </w:p>
          <w:p w:rsidR="00BE21B0" w:rsidRDefault="00BE21B0">
            <w:pPr>
              <w:rPr>
                <w:rFonts w:ascii="Arial" w:hAnsi="Arial" w:cs="Arial"/>
                <w:b/>
                <w:bCs/>
                <w:sz w:val="24"/>
                <w:szCs w:val="24"/>
              </w:rPr>
            </w:pPr>
          </w:p>
          <w:p w:rsidRPr="00BE21B0" w:rsidR="00BE21B0" w:rsidP="00BE21B0" w:rsidRDefault="00BE21B0">
            <w:pPr>
              <w:autoSpaceDE w:val="0"/>
              <w:autoSpaceDN w:val="0"/>
              <w:adjustRightInd w:val="0"/>
              <w:rPr>
                <w:rFonts w:ascii="ArialMTStd-Bold" w:hAnsi="ArialMTStd-Bold" w:cs="ArialMTStd-Bold"/>
                <w:b/>
                <w:bCs/>
                <w:color w:val="1F497D" w:themeColor="text2"/>
                <w:sz w:val="36"/>
                <w:szCs w:val="36"/>
                <w:lang w:bidi="th-TH"/>
              </w:rPr>
            </w:pPr>
            <w:r w:rsidRPr="00BE21B0">
              <w:rPr>
                <w:rFonts w:ascii="ArialMTStd-Bold" w:hAnsi="ArialMTStd-Bold" w:cs="ArialMTStd-Bold"/>
                <w:b/>
                <w:bCs/>
                <w:color w:val="1F497D" w:themeColor="text2"/>
                <w:sz w:val="36"/>
                <w:szCs w:val="36"/>
                <w:lang w:bidi="th-TH"/>
              </w:rPr>
              <w:t>Data Handling:</w:t>
            </w:r>
          </w:p>
          <w:p w:rsidRPr="00BE21B0" w:rsidR="00BE21B0" w:rsidP="00BE21B0" w:rsidRDefault="00BE21B0">
            <w:pPr>
              <w:autoSpaceDE w:val="0"/>
              <w:autoSpaceDN w:val="0"/>
              <w:adjustRightInd w:val="0"/>
              <w:rPr>
                <w:rFonts w:ascii="ArialMTStd-Light" w:hAnsi="ArialMTStd-Light" w:cs="ArialMTStd-Light"/>
                <w:color w:val="1F497D" w:themeColor="text2"/>
                <w:sz w:val="36"/>
                <w:szCs w:val="36"/>
                <w:lang w:bidi="th-TH"/>
              </w:rPr>
            </w:pPr>
            <w:r w:rsidRPr="00BE21B0">
              <w:rPr>
                <w:rFonts w:ascii="ArialMTStd-Light" w:hAnsi="ArialMTStd-Light" w:cs="ArialMTStd-Light"/>
                <w:color w:val="1F497D" w:themeColor="text2"/>
                <w:sz w:val="36"/>
                <w:szCs w:val="36"/>
                <w:lang w:bidi="th-TH"/>
              </w:rPr>
              <w:t>A Guide for Research</w:t>
            </w:r>
            <w:r w:rsidR="001F34E2">
              <w:rPr>
                <w:rFonts w:ascii="ArialMTStd-Light" w:hAnsi="ArialMTStd-Light" w:cs="ArialMTStd-Light"/>
                <w:color w:val="1F497D" w:themeColor="text2"/>
                <w:sz w:val="36"/>
                <w:szCs w:val="36"/>
                <w:lang w:bidi="th-TH"/>
              </w:rPr>
              <w:t xml:space="preserve"> </w:t>
            </w:r>
            <w:r w:rsidRPr="00BE21B0">
              <w:rPr>
                <w:rFonts w:ascii="ArialMTStd-Light" w:hAnsi="ArialMTStd-Light" w:cs="ArialMTStd-Light"/>
                <w:color w:val="1F497D" w:themeColor="text2"/>
                <w:sz w:val="36"/>
                <w:szCs w:val="36"/>
                <w:lang w:bidi="th-TH"/>
              </w:rPr>
              <w:t xml:space="preserve">Study Principal </w:t>
            </w:r>
            <w:r w:rsidR="001F34E2">
              <w:rPr>
                <w:rFonts w:ascii="ArialMTStd-Light" w:hAnsi="ArialMTStd-Light" w:cs="ArialMTStd-Light"/>
                <w:color w:val="1F497D" w:themeColor="text2"/>
                <w:sz w:val="36"/>
                <w:szCs w:val="36"/>
                <w:lang w:bidi="th-TH"/>
              </w:rPr>
              <w:t>I</w:t>
            </w:r>
            <w:r w:rsidRPr="00BE21B0">
              <w:rPr>
                <w:rFonts w:ascii="ArialMTStd-Light" w:hAnsi="ArialMTStd-Light" w:cs="ArialMTStd-Light"/>
                <w:color w:val="1F497D" w:themeColor="text2"/>
                <w:sz w:val="36"/>
                <w:szCs w:val="36"/>
                <w:lang w:bidi="th-TH"/>
              </w:rPr>
              <w:t>nvestigators</w:t>
            </w:r>
          </w:p>
          <w:p w:rsidR="00BE21B0" w:rsidP="00BE21B0" w:rsidRDefault="00BE21B0">
            <w:pPr>
              <w:rPr>
                <w:rFonts w:ascii="ArialMTStd-Light" w:hAnsi="ArialMTStd-Light" w:cs="ArialMTStd-Light"/>
                <w:color w:val="1F497D" w:themeColor="text2"/>
                <w:sz w:val="36"/>
                <w:szCs w:val="36"/>
                <w:lang w:bidi="th-TH"/>
              </w:rPr>
            </w:pPr>
            <w:r w:rsidRPr="00BE21B0">
              <w:rPr>
                <w:rFonts w:ascii="ArialMTStd-Light" w:hAnsi="ArialMTStd-Light" w:cs="ArialMTStd-Light"/>
                <w:color w:val="1F497D" w:themeColor="text2"/>
                <w:sz w:val="36"/>
                <w:szCs w:val="36"/>
                <w:lang w:bidi="th-TH"/>
              </w:rPr>
              <w:t>handling identifiable data</w:t>
            </w:r>
          </w:p>
          <w:p w:rsidR="001F34E2" w:rsidP="00BE21B0" w:rsidRDefault="001F34E2">
            <w:pPr>
              <w:rPr>
                <w:rFonts w:ascii="ArialMTStd-Light" w:hAnsi="ArialMTStd-Light" w:cs="ArialMTStd-Light"/>
                <w:color w:val="1F497D" w:themeColor="text2"/>
                <w:sz w:val="36"/>
                <w:szCs w:val="36"/>
                <w:lang w:bidi="th-TH"/>
              </w:rPr>
            </w:pPr>
          </w:p>
          <w:p w:rsidR="001F34E2" w:rsidP="00BE21B0" w:rsidRDefault="0000027D">
            <w:pPr>
              <w:rPr>
                <w:rStyle w:val="Hyperlink"/>
                <w:rFonts w:ascii="ArialMTStd" w:hAnsi="ArialMTStd" w:cs="ArialMTStd"/>
                <w:sz w:val="18"/>
                <w:szCs w:val="18"/>
                <w:lang w:bidi="th-TH"/>
              </w:rPr>
            </w:pPr>
            <w:r>
              <w:rPr>
                <w:rFonts w:ascii="Arial" w:hAnsi="Arial" w:cs="Arial"/>
                <w:color w:val="1F497D" w:themeColor="text2"/>
                <w:sz w:val="24"/>
                <w:szCs w:val="24"/>
                <w:lang w:bidi="th-TH"/>
              </w:rPr>
              <w:t xml:space="preserve">For support </w:t>
            </w:r>
            <w:r w:rsidRPr="001F34E2" w:rsidR="001F34E2">
              <w:rPr>
                <w:rFonts w:ascii="Arial" w:hAnsi="Arial" w:cs="Arial"/>
                <w:color w:val="1F497D" w:themeColor="text2"/>
                <w:sz w:val="24"/>
                <w:szCs w:val="24"/>
                <w:lang w:bidi="th-TH"/>
              </w:rPr>
              <w:t>email:</w:t>
            </w:r>
            <w:r w:rsidR="00164410">
              <w:rPr>
                <w:rFonts w:ascii="Arial" w:hAnsi="Arial" w:cs="Arial"/>
                <w:color w:val="1F497D" w:themeColor="text2"/>
                <w:sz w:val="24"/>
                <w:szCs w:val="24"/>
                <w:lang w:bidi="th-TH"/>
              </w:rPr>
              <w:t xml:space="preserve"> </w:t>
            </w:r>
            <w:hyperlink w:history="1" r:id="rId8">
              <w:r>
                <w:rPr>
                  <w:rStyle w:val="Hyperlink"/>
                  <w:rFonts w:ascii="ArialMTStd" w:hAnsi="ArialMTStd" w:cs="ArialMTStd"/>
                  <w:sz w:val="18"/>
                  <w:szCs w:val="18"/>
                  <w:lang w:bidi="th-TH"/>
                </w:rPr>
                <w:t>DataProtection@sgul.ac.uk</w:t>
              </w:r>
            </w:hyperlink>
          </w:p>
          <w:p w:rsidRPr="001F34E2" w:rsidR="0000027D" w:rsidP="00BE21B0" w:rsidRDefault="0000027D">
            <w:pPr>
              <w:rPr>
                <w:rFonts w:ascii="Arial" w:hAnsi="Arial" w:cs="Arial"/>
                <w:color w:val="1F497D" w:themeColor="text2"/>
                <w:sz w:val="24"/>
                <w:szCs w:val="24"/>
                <w:lang w:bidi="th-TH"/>
              </w:rPr>
            </w:pPr>
          </w:p>
          <w:p w:rsidR="0000027D" w:rsidP="00BE21B0" w:rsidRDefault="0000027D">
            <w:pPr>
              <w:rPr>
                <w:rFonts w:ascii="Arial" w:hAnsi="Arial" w:cs="Arial"/>
                <w:color w:val="1F497D" w:themeColor="text2"/>
                <w:sz w:val="24"/>
                <w:szCs w:val="24"/>
                <w:lang w:bidi="th-TH"/>
              </w:rPr>
            </w:pPr>
            <w:r>
              <w:rPr>
                <w:rFonts w:ascii="Arial" w:hAnsi="Arial" w:cs="Arial"/>
                <w:color w:val="1F497D" w:themeColor="text2"/>
                <w:sz w:val="24"/>
                <w:szCs w:val="24"/>
                <w:lang w:bidi="th-TH"/>
              </w:rPr>
              <w:t>Or</w:t>
            </w:r>
          </w:p>
          <w:p w:rsidR="001F34E2" w:rsidP="00BE21B0" w:rsidRDefault="0000027D">
            <w:pPr>
              <w:rPr>
                <w:rFonts w:ascii="Arial" w:hAnsi="Arial" w:cs="Arial"/>
                <w:color w:val="1F497D" w:themeColor="text2"/>
                <w:sz w:val="24"/>
                <w:szCs w:val="24"/>
                <w:lang w:bidi="th-TH"/>
              </w:rPr>
            </w:pPr>
            <w:r>
              <w:rPr>
                <w:rFonts w:ascii="Arial" w:hAnsi="Arial" w:cs="Arial"/>
                <w:color w:val="1F497D" w:themeColor="text2"/>
                <w:sz w:val="24"/>
                <w:szCs w:val="24"/>
                <w:lang w:bidi="th-TH"/>
              </w:rPr>
              <w:t xml:space="preserve">view the </w:t>
            </w:r>
            <w:hyperlink w:history="1" r:id="rId9">
              <w:r w:rsidRPr="0000027D">
                <w:rPr>
                  <w:rStyle w:val="Hyperlink"/>
                  <w:rFonts w:ascii="Arial" w:hAnsi="Arial" w:cs="Arial"/>
                  <w:sz w:val="24"/>
                  <w:szCs w:val="24"/>
                  <w:lang w:bidi="th-TH"/>
                </w:rPr>
                <w:t>IG Web Pages</w:t>
              </w:r>
            </w:hyperlink>
          </w:p>
          <w:p w:rsidR="00F66676" w:rsidP="00BE21B0" w:rsidRDefault="00F66676">
            <w:pPr>
              <w:rPr>
                <w:rFonts w:ascii="Arial" w:hAnsi="Arial" w:cs="Arial"/>
                <w:color w:val="1F497D" w:themeColor="text2"/>
                <w:sz w:val="24"/>
                <w:szCs w:val="24"/>
                <w:lang w:bidi="th-TH"/>
              </w:rPr>
            </w:pPr>
          </w:p>
          <w:p w:rsidRPr="00BE21B0" w:rsidR="00F66676" w:rsidP="00F66676" w:rsidRDefault="00F66676">
            <w:pPr>
              <w:rPr>
                <w:rFonts w:ascii="Arial" w:hAnsi="Arial" w:cs="Arial"/>
                <w:b/>
                <w:bCs/>
                <w:sz w:val="24"/>
                <w:szCs w:val="24"/>
              </w:rPr>
            </w:pPr>
            <w:r>
              <w:rPr>
                <w:rFonts w:ascii="Arial" w:hAnsi="Arial" w:cs="Arial"/>
                <w:color w:val="1F497D" w:themeColor="text2"/>
                <w:sz w:val="24"/>
                <w:szCs w:val="24"/>
                <w:lang w:bidi="th-TH"/>
              </w:rPr>
              <w:t>(web – only available internally)</w:t>
            </w:r>
          </w:p>
        </w:tc>
      </w:tr>
      <w:tr w:rsidR="00400A26" w:rsidTr="001248D3">
        <w:trPr>
          <w:trHeight w:val="8354"/>
        </w:trPr>
        <w:tc>
          <w:tcPr>
            <w:tcW w:w="3543" w:type="dxa"/>
          </w:tcPr>
          <w:p w:rsidR="00BE21B0" w:rsidRDefault="00580AAE">
            <w:pPr>
              <w:rPr>
                <w:rFonts w:ascii="Arial" w:hAnsi="Arial" w:cs="Arial"/>
                <w:b/>
                <w:bCs/>
                <w:color w:val="1F497D" w:themeColor="text2"/>
                <w:sz w:val="24"/>
                <w:szCs w:val="24"/>
                <w:lang w:bidi="th-TH"/>
              </w:rPr>
            </w:pPr>
            <w:r w:rsidRPr="00580AAE">
              <w:rPr>
                <w:rFonts w:ascii="Arial" w:hAnsi="Arial" w:cs="Arial"/>
                <w:b/>
                <w:bCs/>
                <w:color w:val="1F497D" w:themeColor="text2"/>
                <w:sz w:val="24"/>
                <w:szCs w:val="24"/>
                <w:lang w:bidi="th-TH"/>
              </w:rPr>
              <w:lastRenderedPageBreak/>
              <w:t>Purpose of this guide</w:t>
            </w:r>
          </w:p>
          <w:p w:rsidR="00580AAE" w:rsidRDefault="00580AAE">
            <w:pPr>
              <w:rPr>
                <w:rFonts w:ascii="Arial" w:hAnsi="Arial" w:cs="Arial"/>
                <w:b/>
                <w:bCs/>
                <w:color w:val="1F497D" w:themeColor="text2"/>
                <w:sz w:val="24"/>
                <w:szCs w:val="24"/>
                <w:lang w:bidi="th-TH"/>
              </w:rPr>
            </w:pPr>
          </w:p>
          <w:p w:rsidR="00580AAE" w:rsidP="00580AAE" w:rsidRDefault="00580AAE">
            <w:pPr>
              <w:autoSpaceDE w:val="0"/>
              <w:autoSpaceDN w:val="0"/>
              <w:adjustRightInd w:val="0"/>
              <w:rPr>
                <w:rFonts w:ascii="ArialMTStd" w:hAnsi="ArialMTStd" w:cs="ArialMTStd"/>
                <w:sz w:val="24"/>
                <w:szCs w:val="24"/>
                <w:lang w:bidi="th-TH"/>
              </w:rPr>
            </w:pPr>
            <w:r>
              <w:rPr>
                <w:rFonts w:ascii="ArialMTStd" w:hAnsi="ArialMTStd" w:cs="ArialMTStd"/>
                <w:sz w:val="24"/>
                <w:szCs w:val="24"/>
                <w:lang w:bidi="th-TH"/>
              </w:rPr>
              <w:t>This guide has been put together to assist research study Principal Investigators</w:t>
            </w:r>
          </w:p>
          <w:p w:rsidR="00580AAE" w:rsidP="00580AAE" w:rsidRDefault="00580AAE">
            <w:pPr>
              <w:autoSpaceDE w:val="0"/>
              <w:autoSpaceDN w:val="0"/>
              <w:adjustRightInd w:val="0"/>
              <w:rPr>
                <w:rFonts w:ascii="ArialMTStd" w:hAnsi="ArialMTStd" w:cs="ArialMTStd"/>
                <w:sz w:val="24"/>
                <w:szCs w:val="24"/>
                <w:lang w:bidi="th-TH"/>
              </w:rPr>
            </w:pPr>
            <w:r>
              <w:rPr>
                <w:rFonts w:ascii="ArialMTStd" w:hAnsi="ArialMTStd" w:cs="ArialMTStd"/>
                <w:sz w:val="24"/>
                <w:szCs w:val="24"/>
                <w:lang w:bidi="th-TH"/>
              </w:rPr>
              <w:t>(PIs) handling identifiable data.</w:t>
            </w:r>
          </w:p>
          <w:p w:rsidR="00580AAE" w:rsidP="00580AAE" w:rsidRDefault="00580AAE">
            <w:pPr>
              <w:autoSpaceDE w:val="0"/>
              <w:autoSpaceDN w:val="0"/>
              <w:adjustRightInd w:val="0"/>
              <w:rPr>
                <w:rFonts w:ascii="ArialMTStd" w:hAnsi="ArialMTStd" w:cs="ArialMTStd"/>
                <w:sz w:val="18"/>
                <w:szCs w:val="18"/>
                <w:lang w:bidi="th-TH"/>
              </w:rPr>
            </w:pPr>
          </w:p>
          <w:p w:rsidR="00580AAE" w:rsidP="00580AAE" w:rsidRDefault="00EA65A1">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Within SGUL,</w:t>
            </w:r>
            <w:r w:rsidR="00580AAE">
              <w:rPr>
                <w:rFonts w:ascii="ArialMTStd" w:hAnsi="ArialMTStd" w:cs="ArialMTStd"/>
                <w:sz w:val="18"/>
                <w:szCs w:val="18"/>
                <w:lang w:bidi="th-TH"/>
              </w:rPr>
              <w:t xml:space="preserve"> PIs frequently handle large volumes of data received from external organisations much of it of a sensitive nature. We need to ensure that the data is handled in a way that complies with the standards of the information providers and respects the interests and preferences of the research subject.</w:t>
            </w:r>
          </w:p>
          <w:p w:rsidR="00580AAE" w:rsidP="00580AAE" w:rsidRDefault="00580AAE">
            <w:pPr>
              <w:autoSpaceDE w:val="0"/>
              <w:autoSpaceDN w:val="0"/>
              <w:adjustRightInd w:val="0"/>
              <w:rPr>
                <w:rFonts w:ascii="ArialMTStd" w:hAnsi="ArialMTStd" w:cs="ArialMTStd"/>
                <w:sz w:val="18"/>
                <w:szCs w:val="18"/>
                <w:lang w:bidi="th-TH"/>
              </w:rPr>
            </w:pPr>
          </w:p>
          <w:p w:rsidRPr="00580AAE" w:rsidR="00580AAE" w:rsidP="00580AAE" w:rsidRDefault="00580AAE">
            <w:pPr>
              <w:autoSpaceDE w:val="0"/>
              <w:autoSpaceDN w:val="0"/>
              <w:adjustRightInd w:val="0"/>
              <w:rPr>
                <w:rFonts w:ascii="Arial" w:hAnsi="Arial" w:cs="Arial"/>
                <w:b/>
                <w:bCs/>
                <w:color w:val="1F497D" w:themeColor="text2"/>
                <w:sz w:val="24"/>
                <w:szCs w:val="24"/>
                <w:lang w:bidi="th-TH"/>
              </w:rPr>
            </w:pPr>
            <w:r w:rsidRPr="00580AAE">
              <w:rPr>
                <w:rFonts w:ascii="Arial" w:hAnsi="Arial" w:cs="Arial"/>
                <w:b/>
                <w:bCs/>
                <w:color w:val="1F497D" w:themeColor="text2"/>
                <w:sz w:val="24"/>
                <w:szCs w:val="24"/>
                <w:lang w:bidi="th-TH"/>
              </w:rPr>
              <w:t>Some definitions…</w:t>
            </w:r>
          </w:p>
          <w:p w:rsidR="00580AAE" w:rsidP="00580AAE" w:rsidRDefault="00580AAE">
            <w:pPr>
              <w:autoSpaceDE w:val="0"/>
              <w:autoSpaceDN w:val="0"/>
              <w:adjustRightInd w:val="0"/>
              <w:rPr>
                <w:rFonts w:ascii="ArialMTStd-Bold" w:hAnsi="ArialMTStd-Bold" w:cs="ArialMTStd-Bold"/>
                <w:b/>
                <w:bCs/>
                <w:color w:val="000000"/>
                <w:sz w:val="18"/>
                <w:szCs w:val="18"/>
                <w:lang w:bidi="th-TH"/>
              </w:rPr>
            </w:pPr>
          </w:p>
          <w:p w:rsidR="00580AAE" w:rsidP="00580AAE" w:rsidRDefault="00580AAE">
            <w:pPr>
              <w:autoSpaceDE w:val="0"/>
              <w:autoSpaceDN w:val="0"/>
              <w:adjustRightInd w:val="0"/>
              <w:rPr>
                <w:rFonts w:ascii="ArialMTStd" w:hAnsi="ArialMTStd" w:cs="ArialMTStd"/>
                <w:color w:val="000000"/>
                <w:sz w:val="18"/>
                <w:szCs w:val="18"/>
                <w:lang w:bidi="th-TH"/>
              </w:rPr>
            </w:pPr>
            <w:r>
              <w:rPr>
                <w:rFonts w:ascii="ArialMTStd-Bold" w:hAnsi="ArialMTStd-Bold" w:cs="ArialMTStd-Bold"/>
                <w:b/>
                <w:bCs/>
                <w:color w:val="000000"/>
                <w:sz w:val="18"/>
                <w:szCs w:val="18"/>
                <w:lang w:bidi="th-TH"/>
              </w:rPr>
              <w:t xml:space="preserve">Personal data </w:t>
            </w:r>
            <w:r>
              <w:rPr>
                <w:rFonts w:ascii="ArialMTStd" w:hAnsi="ArialMTStd" w:cs="ArialMTStd"/>
                <w:color w:val="000000"/>
                <w:sz w:val="18"/>
                <w:szCs w:val="18"/>
                <w:lang w:bidi="th-TH"/>
              </w:rPr>
              <w:t xml:space="preserve">is any information that can identify an individual. </w:t>
            </w:r>
          </w:p>
          <w:p w:rsidR="00580AAE" w:rsidP="00580AAE" w:rsidRDefault="00580AAE">
            <w:pPr>
              <w:autoSpaceDE w:val="0"/>
              <w:autoSpaceDN w:val="0"/>
              <w:adjustRightInd w:val="0"/>
              <w:rPr>
                <w:rFonts w:ascii="ArialMTStd" w:hAnsi="ArialMTStd" w:cs="ArialMTStd"/>
                <w:color w:val="000000"/>
                <w:sz w:val="18"/>
                <w:szCs w:val="18"/>
                <w:lang w:bidi="th-TH"/>
              </w:rPr>
            </w:pPr>
          </w:p>
          <w:p w:rsidR="00580AAE" w:rsidP="00580AAE" w:rsidRDefault="00580AAE">
            <w:pPr>
              <w:autoSpaceDE w:val="0"/>
              <w:autoSpaceDN w:val="0"/>
              <w:adjustRightInd w:val="0"/>
              <w:rPr>
                <w:rFonts w:ascii="ArialMTStd" w:hAnsi="ArialMTStd" w:cs="ArialMTStd"/>
                <w:color w:val="000000"/>
                <w:sz w:val="18"/>
                <w:szCs w:val="18"/>
                <w:lang w:bidi="th-TH"/>
              </w:rPr>
            </w:pPr>
            <w:r>
              <w:rPr>
                <w:rFonts w:ascii="ArialMTStd-Bold" w:hAnsi="ArialMTStd-Bold" w:cs="ArialMTStd-Bold"/>
                <w:b/>
                <w:bCs/>
                <w:color w:val="000000"/>
                <w:sz w:val="18"/>
                <w:szCs w:val="18"/>
                <w:lang w:bidi="th-TH"/>
              </w:rPr>
              <w:t xml:space="preserve">Sensitive data </w:t>
            </w:r>
            <w:r>
              <w:rPr>
                <w:rFonts w:ascii="ArialMTStd" w:hAnsi="ArialMTStd" w:cs="ArialMTStd"/>
                <w:color w:val="000000"/>
                <w:sz w:val="18"/>
                <w:szCs w:val="18"/>
                <w:lang w:bidi="th-TH"/>
              </w:rPr>
              <w:t>is personal data that can be one or more of the following: mental or physical health; sexual life; ethnicity; religious or other similar beliefs;</w:t>
            </w:r>
          </w:p>
          <w:p w:rsidR="00580AAE" w:rsidP="00580AAE" w:rsidRDefault="00580AAE">
            <w:pPr>
              <w:autoSpaceDE w:val="0"/>
              <w:autoSpaceDN w:val="0"/>
              <w:adjustRightInd w:val="0"/>
              <w:rPr>
                <w:rFonts w:ascii="ArialMTStd" w:hAnsi="ArialMTStd" w:cs="ArialMTStd"/>
                <w:color w:val="000000"/>
                <w:sz w:val="18"/>
                <w:szCs w:val="18"/>
                <w:lang w:bidi="th-TH"/>
              </w:rPr>
            </w:pPr>
            <w:r>
              <w:rPr>
                <w:rFonts w:ascii="ArialMTStd" w:hAnsi="ArialMTStd" w:cs="ArialMTStd"/>
                <w:color w:val="000000"/>
                <w:sz w:val="18"/>
                <w:szCs w:val="18"/>
                <w:lang w:bidi="th-TH"/>
              </w:rPr>
              <w:t>trade union membership; political opinions; criminal offences or potential offences committed and any</w:t>
            </w:r>
          </w:p>
          <w:p w:rsidRPr="00580AAE" w:rsidR="00580AAE" w:rsidP="00580AAE" w:rsidRDefault="00580AAE">
            <w:pPr>
              <w:autoSpaceDE w:val="0"/>
              <w:autoSpaceDN w:val="0"/>
              <w:adjustRightInd w:val="0"/>
              <w:rPr>
                <w:rFonts w:ascii="Arial" w:hAnsi="Arial" w:cs="Arial"/>
                <w:color w:val="1F497D" w:themeColor="text2"/>
              </w:rPr>
            </w:pPr>
            <w:r>
              <w:rPr>
                <w:rFonts w:ascii="ArialMTStd" w:hAnsi="ArialMTStd" w:cs="ArialMTStd"/>
                <w:color w:val="000000"/>
                <w:sz w:val="18"/>
                <w:szCs w:val="18"/>
                <w:lang w:bidi="th-TH"/>
              </w:rPr>
              <w:t>associated sentence.</w:t>
            </w:r>
          </w:p>
        </w:tc>
        <w:tc>
          <w:tcPr>
            <w:tcW w:w="3543" w:type="dxa"/>
          </w:tcPr>
          <w:p w:rsidR="00BE21B0" w:rsidRDefault="00580AAE">
            <w:pPr>
              <w:rPr>
                <w:rFonts w:ascii="Arial" w:hAnsi="Arial" w:cs="Arial"/>
                <w:b/>
                <w:bCs/>
                <w:color w:val="1F497D" w:themeColor="text2"/>
                <w:sz w:val="24"/>
                <w:szCs w:val="24"/>
                <w:lang w:bidi="th-TH"/>
              </w:rPr>
            </w:pPr>
            <w:r w:rsidRPr="00580AAE">
              <w:rPr>
                <w:rFonts w:ascii="Arial" w:hAnsi="Arial" w:cs="Arial"/>
                <w:b/>
                <w:bCs/>
                <w:color w:val="1F497D" w:themeColor="text2"/>
                <w:sz w:val="24"/>
                <w:szCs w:val="24"/>
                <w:lang w:bidi="th-TH"/>
              </w:rPr>
              <w:t>Working with NHS data</w:t>
            </w:r>
          </w:p>
          <w:p w:rsidR="00580AAE" w:rsidRDefault="00580AAE">
            <w:pPr>
              <w:rPr>
                <w:rFonts w:ascii="Arial" w:hAnsi="Arial" w:cs="Arial"/>
                <w:b/>
                <w:bCs/>
                <w:color w:val="1F497D" w:themeColor="text2"/>
                <w:sz w:val="24"/>
                <w:szCs w:val="24"/>
                <w:lang w:bidi="th-TH"/>
              </w:rPr>
            </w:pPr>
          </w:p>
          <w:p w:rsidR="00580AAE" w:rsidP="00580AAE" w:rsidRDefault="00580AAE">
            <w:pPr>
              <w:autoSpaceDE w:val="0"/>
              <w:autoSpaceDN w:val="0"/>
              <w:adjustRightInd w:val="0"/>
              <w:rPr>
                <w:rFonts w:ascii="ArialMTStd-Bold" w:hAnsi="ArialMTStd-Bold" w:cs="ArialMTStd-Bold"/>
                <w:b/>
                <w:bCs/>
                <w:sz w:val="18"/>
                <w:szCs w:val="18"/>
                <w:lang w:bidi="th-TH"/>
              </w:rPr>
            </w:pPr>
            <w:r>
              <w:rPr>
                <w:rFonts w:ascii="ArialMTStd-Bold" w:hAnsi="ArialMTStd-Bold" w:cs="ArialMTStd-Bold"/>
                <w:b/>
                <w:bCs/>
                <w:sz w:val="18"/>
                <w:szCs w:val="18"/>
                <w:lang w:bidi="th-TH"/>
              </w:rPr>
              <w:t>Identifiable data from NHS patients can be used in clinical research if consent has been obtained with</w:t>
            </w:r>
          </w:p>
          <w:p w:rsidR="00580AAE" w:rsidP="00580AAE" w:rsidRDefault="00580AAE">
            <w:pPr>
              <w:autoSpaceDE w:val="0"/>
              <w:autoSpaceDN w:val="0"/>
              <w:adjustRightInd w:val="0"/>
              <w:rPr>
                <w:rFonts w:ascii="ArialMTStd-Bold" w:hAnsi="ArialMTStd-Bold" w:cs="ArialMTStd-Bold"/>
                <w:b/>
                <w:bCs/>
                <w:sz w:val="18"/>
                <w:szCs w:val="18"/>
                <w:lang w:bidi="th-TH"/>
              </w:rPr>
            </w:pPr>
            <w:r>
              <w:rPr>
                <w:rFonts w:ascii="ArialMTStd-Bold" w:hAnsi="ArialMTStd-Bold" w:cs="ArialMTStd-Bold"/>
                <w:b/>
                <w:bCs/>
                <w:sz w:val="18"/>
                <w:szCs w:val="18"/>
                <w:lang w:bidi="th-TH"/>
              </w:rPr>
              <w:t>clarity regarding its use, if the organisations which will have access have been identified and if patients are</w:t>
            </w:r>
          </w:p>
          <w:p w:rsidR="00580AAE" w:rsidP="00580AAE" w:rsidRDefault="00580AAE">
            <w:pPr>
              <w:autoSpaceDE w:val="0"/>
              <w:autoSpaceDN w:val="0"/>
              <w:adjustRightInd w:val="0"/>
              <w:rPr>
                <w:rFonts w:ascii="ArialMTStd" w:hAnsi="ArialMTStd" w:cs="ArialMTStd"/>
                <w:sz w:val="18"/>
                <w:szCs w:val="18"/>
                <w:lang w:bidi="th-TH"/>
              </w:rPr>
            </w:pPr>
            <w:r>
              <w:rPr>
                <w:rFonts w:ascii="ArialMTStd-Bold" w:hAnsi="ArialMTStd-Bold" w:cs="ArialMTStd-Bold"/>
                <w:b/>
                <w:bCs/>
                <w:sz w:val="18"/>
                <w:szCs w:val="18"/>
                <w:lang w:bidi="th-TH"/>
              </w:rPr>
              <w:t>informed that their data will be transferred outside the UK</w:t>
            </w:r>
            <w:r>
              <w:rPr>
                <w:rFonts w:ascii="ArialMTStd" w:hAnsi="ArialMTStd" w:cs="ArialMTStd"/>
                <w:sz w:val="18"/>
                <w:szCs w:val="18"/>
                <w:lang w:bidi="th-TH"/>
              </w:rPr>
              <w:t>.</w:t>
            </w:r>
          </w:p>
          <w:p w:rsidR="00580AAE" w:rsidP="00580AAE" w:rsidRDefault="00580AAE">
            <w:pPr>
              <w:autoSpaceDE w:val="0"/>
              <w:autoSpaceDN w:val="0"/>
              <w:adjustRightInd w:val="0"/>
              <w:rPr>
                <w:rFonts w:ascii="ArialMTStd" w:hAnsi="ArialMTStd" w:cs="ArialMTStd"/>
                <w:sz w:val="18"/>
                <w:szCs w:val="18"/>
                <w:lang w:bidi="th-TH"/>
              </w:rPr>
            </w:pPr>
          </w:p>
          <w:p w:rsidR="00580AAE" w:rsidP="00580AAE" w:rsidRDefault="00580AAE">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If not the study must apply to the Health Research Authority (HRA) for a S251 exemption. Otherwise the Information</w:t>
            </w:r>
          </w:p>
          <w:p w:rsidR="00580AAE" w:rsidP="00580AAE" w:rsidRDefault="00580AAE">
            <w:pPr>
              <w:rPr>
                <w:rFonts w:ascii="ArialMTStd" w:hAnsi="ArialMTStd" w:cs="ArialMTStd"/>
                <w:sz w:val="18"/>
                <w:szCs w:val="18"/>
                <w:lang w:bidi="th-TH"/>
              </w:rPr>
            </w:pPr>
            <w:r>
              <w:rPr>
                <w:rFonts w:ascii="ArialMTStd" w:hAnsi="ArialMTStd" w:cs="ArialMTStd"/>
                <w:sz w:val="18"/>
                <w:szCs w:val="18"/>
                <w:lang w:bidi="th-TH"/>
              </w:rPr>
              <w:t>Commissioner could impose a fine of up to £</w:t>
            </w:r>
            <w:r w:rsidR="00AF290A">
              <w:rPr>
                <w:rFonts w:ascii="ArialMTStd" w:hAnsi="ArialMTStd" w:cs="ArialMTStd"/>
                <w:sz w:val="18"/>
                <w:szCs w:val="18"/>
                <w:lang w:bidi="th-TH"/>
              </w:rPr>
              <w:t>17M</w:t>
            </w:r>
            <w:r>
              <w:rPr>
                <w:rFonts w:ascii="ArialMTStd" w:hAnsi="ArialMTStd" w:cs="ArialMTStd"/>
                <w:sz w:val="18"/>
                <w:szCs w:val="18"/>
                <w:lang w:bidi="th-TH"/>
              </w:rPr>
              <w:t>.</w:t>
            </w:r>
          </w:p>
          <w:p w:rsidR="00580AAE" w:rsidP="00580AAE" w:rsidRDefault="00580AAE">
            <w:pPr>
              <w:rPr>
                <w:rFonts w:ascii="ArialMTStd" w:hAnsi="ArialMTStd" w:cs="ArialMTStd"/>
                <w:sz w:val="18"/>
                <w:szCs w:val="18"/>
                <w:lang w:bidi="th-TH"/>
              </w:rPr>
            </w:pPr>
          </w:p>
          <w:p w:rsidR="00580AAE" w:rsidP="00580AAE" w:rsidRDefault="00580AAE">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xml:space="preserve">S251 exemption now requires compliance with the NHS </w:t>
            </w:r>
            <w:r w:rsidR="00C55D9B">
              <w:rPr>
                <w:rFonts w:ascii="ArialMTStd" w:hAnsi="ArialMTStd" w:cs="ArialMTStd"/>
                <w:sz w:val="18"/>
                <w:szCs w:val="18"/>
                <w:lang w:bidi="th-TH"/>
              </w:rPr>
              <w:t>DSP</w:t>
            </w:r>
            <w:r>
              <w:rPr>
                <w:rFonts w:ascii="ArialMTStd" w:hAnsi="ArialMTStd" w:cs="ArialMTStd"/>
                <w:sz w:val="18"/>
                <w:szCs w:val="18"/>
                <w:lang w:bidi="th-TH"/>
              </w:rPr>
              <w:t xml:space="preserve"> Toolkit. The </w:t>
            </w:r>
            <w:r>
              <w:rPr>
                <w:rFonts w:ascii="ArialMTStd-Bold" w:hAnsi="ArialMTStd-Bold" w:cs="ArialMTStd-Bold"/>
                <w:b/>
                <w:bCs/>
                <w:sz w:val="18"/>
                <w:szCs w:val="18"/>
                <w:lang w:bidi="th-TH"/>
              </w:rPr>
              <w:t xml:space="preserve">NHS </w:t>
            </w:r>
            <w:r w:rsidR="00C55D9B">
              <w:rPr>
                <w:rFonts w:ascii="ArialMTStd-Bold" w:hAnsi="ArialMTStd-Bold" w:cs="ArialMTStd-Bold"/>
                <w:b/>
                <w:bCs/>
                <w:sz w:val="18"/>
                <w:szCs w:val="18"/>
                <w:lang w:bidi="th-TH"/>
              </w:rPr>
              <w:t>DSP</w:t>
            </w:r>
            <w:r>
              <w:rPr>
                <w:rFonts w:ascii="ArialMTStd-Bold" w:hAnsi="ArialMTStd-Bold" w:cs="ArialMTStd-Bold"/>
                <w:b/>
                <w:bCs/>
                <w:sz w:val="18"/>
                <w:szCs w:val="18"/>
                <w:lang w:bidi="th-TH"/>
              </w:rPr>
              <w:t xml:space="preserve"> Toolkit </w:t>
            </w:r>
            <w:r>
              <w:rPr>
                <w:rFonts w:ascii="ArialMTStd" w:hAnsi="ArialMTStd" w:cs="ArialMTStd"/>
                <w:sz w:val="18"/>
                <w:szCs w:val="18"/>
                <w:lang w:bidi="th-TH"/>
              </w:rPr>
              <w:t xml:space="preserve">is a set of standards for measuring information governance, within </w:t>
            </w:r>
            <w:r w:rsidR="006366FC">
              <w:rPr>
                <w:rFonts w:ascii="ArialMTStd" w:hAnsi="ArialMTStd" w:cs="ArialMTStd"/>
                <w:sz w:val="18"/>
                <w:szCs w:val="18"/>
                <w:lang w:bidi="th-TH"/>
              </w:rPr>
              <w:t>SGUL</w:t>
            </w:r>
            <w:r>
              <w:rPr>
                <w:rFonts w:ascii="ArialMTStd" w:hAnsi="ArialMTStd" w:cs="ArialMTStd"/>
                <w:sz w:val="18"/>
                <w:szCs w:val="18"/>
                <w:lang w:bidi="th-TH"/>
              </w:rPr>
              <w:t xml:space="preserve"> compliance is typically requested by research study teams under the ‘</w:t>
            </w:r>
            <w:r w:rsidR="00C55D9B">
              <w:rPr>
                <w:rFonts w:ascii="ArialMTStd" w:hAnsi="ArialMTStd" w:cs="ArialMTStd"/>
                <w:sz w:val="18"/>
                <w:szCs w:val="18"/>
                <w:lang w:bidi="th-TH"/>
              </w:rPr>
              <w:t>Research  /University</w:t>
            </w:r>
            <w:r>
              <w:rPr>
                <w:rFonts w:ascii="ArialMTStd" w:hAnsi="ArialMTStd" w:cs="ArialMTStd"/>
                <w:sz w:val="18"/>
                <w:szCs w:val="18"/>
                <w:lang w:bidi="th-TH"/>
              </w:rPr>
              <w:t>’</w:t>
            </w:r>
          </w:p>
          <w:p w:rsidR="00580AAE" w:rsidP="00580AAE" w:rsidRDefault="00580AAE">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category which measures compliance with 1</w:t>
            </w:r>
            <w:r w:rsidR="00C55D9B">
              <w:rPr>
                <w:rFonts w:ascii="ArialMTStd" w:hAnsi="ArialMTStd" w:cs="ArialMTStd"/>
                <w:sz w:val="18"/>
                <w:szCs w:val="18"/>
                <w:lang w:bidi="th-TH"/>
              </w:rPr>
              <w:t xml:space="preserve">0 data </w:t>
            </w:r>
            <w:r>
              <w:rPr>
                <w:rFonts w:ascii="ArialMTStd" w:hAnsi="ArialMTStd" w:cs="ArialMTStd"/>
                <w:sz w:val="18"/>
                <w:szCs w:val="18"/>
                <w:lang w:bidi="th-TH"/>
              </w:rPr>
              <w:t xml:space="preserve">standards. </w:t>
            </w:r>
          </w:p>
          <w:p w:rsidR="00580AAE" w:rsidP="00580AAE" w:rsidRDefault="00580AAE">
            <w:pPr>
              <w:autoSpaceDE w:val="0"/>
              <w:autoSpaceDN w:val="0"/>
              <w:adjustRightInd w:val="0"/>
              <w:rPr>
                <w:rFonts w:ascii="ArialMTStd" w:hAnsi="ArialMTStd" w:cs="ArialMTStd"/>
                <w:sz w:val="18"/>
                <w:szCs w:val="18"/>
                <w:lang w:bidi="th-TH"/>
              </w:rPr>
            </w:pPr>
          </w:p>
          <w:p w:rsidR="00580AAE" w:rsidP="00580AAE" w:rsidRDefault="00580AAE">
            <w:pPr>
              <w:autoSpaceDE w:val="0"/>
              <w:autoSpaceDN w:val="0"/>
              <w:adjustRightInd w:val="0"/>
              <w:rPr>
                <w:rFonts w:ascii="ArialMTStd-Bold" w:hAnsi="ArialMTStd-Bold" w:cs="ArialMTStd-Bold"/>
                <w:b/>
                <w:bCs/>
                <w:sz w:val="18"/>
                <w:szCs w:val="18"/>
                <w:lang w:bidi="th-TH"/>
              </w:rPr>
            </w:pPr>
            <w:r>
              <w:rPr>
                <w:rFonts w:ascii="ArialMTStd-Bold" w:hAnsi="ArialMTStd-Bold" w:cs="ArialMTStd-Bold"/>
                <w:b/>
                <w:bCs/>
                <w:sz w:val="18"/>
                <w:szCs w:val="18"/>
                <w:lang w:bidi="th-TH"/>
              </w:rPr>
              <w:t xml:space="preserve">Further guidance on gaining NHS </w:t>
            </w:r>
            <w:r w:rsidR="00C55D9B">
              <w:rPr>
                <w:rFonts w:ascii="ArialMTStd-Bold" w:hAnsi="ArialMTStd-Bold" w:cs="ArialMTStd-Bold"/>
                <w:b/>
                <w:bCs/>
                <w:sz w:val="18"/>
                <w:szCs w:val="18"/>
                <w:lang w:bidi="th-TH"/>
              </w:rPr>
              <w:t>DSP</w:t>
            </w:r>
            <w:r>
              <w:rPr>
                <w:rFonts w:ascii="ArialMTStd-Bold" w:hAnsi="ArialMTStd-Bold" w:cs="ArialMTStd-Bold"/>
                <w:b/>
                <w:bCs/>
                <w:sz w:val="18"/>
                <w:szCs w:val="18"/>
                <w:lang w:bidi="th-TH"/>
              </w:rPr>
              <w:t xml:space="preserve"> Toolkit accreditation can be found at:</w:t>
            </w:r>
          </w:p>
          <w:p w:rsidR="00580AAE" w:rsidP="00580AAE" w:rsidRDefault="00580AAE">
            <w:pPr>
              <w:autoSpaceDE w:val="0"/>
              <w:autoSpaceDN w:val="0"/>
              <w:adjustRightInd w:val="0"/>
              <w:rPr>
                <w:rFonts w:ascii="ArialMTStd-Bold" w:hAnsi="ArialMTStd-Bold" w:cs="ArialMTStd-Bold"/>
                <w:b/>
                <w:bCs/>
                <w:sz w:val="18"/>
                <w:szCs w:val="18"/>
                <w:lang w:bidi="th-TH"/>
              </w:rPr>
            </w:pPr>
          </w:p>
          <w:p w:rsidR="00580AAE" w:rsidP="00580AAE" w:rsidRDefault="0000027D">
            <w:pPr>
              <w:autoSpaceDE w:val="0"/>
              <w:autoSpaceDN w:val="0"/>
              <w:adjustRightInd w:val="0"/>
              <w:rPr>
                <w:rFonts w:ascii="ArialMTStd-Bold" w:hAnsi="ArialMTStd-Bold" w:cs="ArialMTStd-Bold"/>
                <w:b/>
                <w:bCs/>
                <w:sz w:val="18"/>
                <w:szCs w:val="18"/>
                <w:lang w:bidi="th-TH"/>
              </w:rPr>
            </w:pPr>
            <w:hyperlink w:history="1" r:id="rId10">
              <w:r w:rsidRPr="0000027D" w:rsidR="00EA65A1">
                <w:rPr>
                  <w:rStyle w:val="Hyperlink"/>
                  <w:rFonts w:ascii="ArialMTStd-Bold" w:hAnsi="ArialMTStd-Bold" w:cs="ArialMTStd-Bold"/>
                  <w:b/>
                  <w:bCs/>
                  <w:sz w:val="18"/>
                  <w:szCs w:val="18"/>
                  <w:lang w:bidi="th-TH"/>
                </w:rPr>
                <w:t>SGUL Intranet pages:</w:t>
              </w:r>
            </w:hyperlink>
          </w:p>
          <w:p w:rsidR="00EA65A1" w:rsidP="00580AAE" w:rsidRDefault="00EA65A1">
            <w:pPr>
              <w:autoSpaceDE w:val="0"/>
              <w:autoSpaceDN w:val="0"/>
              <w:adjustRightInd w:val="0"/>
              <w:rPr>
                <w:rFonts w:ascii="ArialMTStd-Bold" w:hAnsi="ArialMTStd-Bold" w:cs="ArialMTStd-Bold"/>
                <w:b/>
                <w:bCs/>
                <w:sz w:val="18"/>
                <w:szCs w:val="18"/>
                <w:lang w:bidi="th-TH"/>
              </w:rPr>
            </w:pPr>
          </w:p>
          <w:p w:rsidRPr="00580AAE" w:rsidR="00EA65A1" w:rsidP="00580AAE" w:rsidRDefault="00EA65A1">
            <w:pPr>
              <w:autoSpaceDE w:val="0"/>
              <w:autoSpaceDN w:val="0"/>
              <w:adjustRightInd w:val="0"/>
              <w:rPr>
                <w:rFonts w:ascii="Arial" w:hAnsi="Arial" w:cs="Arial"/>
                <w:b/>
                <w:bCs/>
                <w:color w:val="1F497D" w:themeColor="text2"/>
              </w:rPr>
            </w:pPr>
          </w:p>
        </w:tc>
        <w:tc>
          <w:tcPr>
            <w:tcW w:w="3544" w:type="dxa"/>
          </w:tcPr>
          <w:p w:rsidRPr="001248D3" w:rsidR="001248D3" w:rsidP="001248D3" w:rsidRDefault="001248D3">
            <w:pPr>
              <w:autoSpaceDE w:val="0"/>
              <w:autoSpaceDN w:val="0"/>
              <w:adjustRightInd w:val="0"/>
              <w:rPr>
                <w:rFonts w:ascii="Arial" w:hAnsi="Arial" w:cs="Arial"/>
                <w:b/>
                <w:bCs/>
                <w:color w:val="1F497D" w:themeColor="text2"/>
                <w:sz w:val="24"/>
                <w:szCs w:val="24"/>
                <w:lang w:bidi="th-TH"/>
              </w:rPr>
            </w:pPr>
            <w:r w:rsidRPr="001248D3">
              <w:rPr>
                <w:rFonts w:ascii="Arial" w:hAnsi="Arial" w:cs="Arial"/>
                <w:b/>
                <w:bCs/>
                <w:color w:val="1F497D" w:themeColor="text2"/>
                <w:sz w:val="24"/>
                <w:szCs w:val="24"/>
                <w:lang w:bidi="th-TH"/>
              </w:rPr>
              <w:t>Securing Personal and</w:t>
            </w:r>
          </w:p>
          <w:p w:rsidR="00BE21B0" w:rsidP="001248D3" w:rsidRDefault="001248D3">
            <w:pPr>
              <w:rPr>
                <w:rFonts w:ascii="Arial" w:hAnsi="Arial" w:cs="Arial"/>
                <w:b/>
                <w:bCs/>
                <w:color w:val="1F497D" w:themeColor="text2"/>
                <w:sz w:val="24"/>
                <w:szCs w:val="24"/>
                <w:lang w:bidi="th-TH"/>
              </w:rPr>
            </w:pPr>
            <w:r w:rsidRPr="001248D3">
              <w:rPr>
                <w:rFonts w:ascii="Arial" w:hAnsi="Arial" w:cs="Arial"/>
                <w:b/>
                <w:bCs/>
                <w:color w:val="1F497D" w:themeColor="text2"/>
                <w:sz w:val="24"/>
                <w:szCs w:val="24"/>
                <w:lang w:bidi="th-TH"/>
              </w:rPr>
              <w:t>Sensitive Data</w:t>
            </w:r>
          </w:p>
          <w:p w:rsidR="001248D3" w:rsidP="001248D3" w:rsidRDefault="001248D3">
            <w:pPr>
              <w:rPr>
                <w:rFonts w:ascii="Arial" w:hAnsi="Arial" w:cs="Arial"/>
                <w:b/>
                <w:bCs/>
                <w:color w:val="1F497D" w:themeColor="text2"/>
                <w:sz w:val="24"/>
                <w:szCs w:val="24"/>
                <w:lang w:bidi="th-TH"/>
              </w:rPr>
            </w:pPr>
          </w:p>
          <w:p w:rsidR="001248D3" w:rsidP="001248D3" w:rsidRDefault="001248D3">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Personal data should be processed in the EEA, if this isn’t possible sufficient measures should be put in place,</w:t>
            </w:r>
          </w:p>
          <w:p w:rsidR="001248D3" w:rsidP="001248D3" w:rsidRDefault="001248D3">
            <w:pPr>
              <w:autoSpaceDE w:val="0"/>
              <w:autoSpaceDN w:val="0"/>
              <w:adjustRightInd w:val="0"/>
              <w:rPr>
                <w:rFonts w:ascii="ArialMTStd-Bold" w:hAnsi="ArialMTStd-Bold" w:cs="ArialMTStd-Bold"/>
                <w:b/>
                <w:bCs/>
                <w:sz w:val="18"/>
                <w:szCs w:val="18"/>
                <w:lang w:bidi="th-TH"/>
              </w:rPr>
            </w:pPr>
            <w:r>
              <w:rPr>
                <w:rFonts w:ascii="ArialMTStd-Bold" w:hAnsi="ArialMTStd-Bold" w:cs="ArialMTStd-Bold"/>
                <w:b/>
                <w:bCs/>
                <w:sz w:val="18"/>
                <w:szCs w:val="18"/>
                <w:lang w:bidi="th-TH"/>
              </w:rPr>
              <w:t>if in doubt check with the SGUL Data Protection Officer.</w:t>
            </w:r>
          </w:p>
          <w:p w:rsidR="001248D3" w:rsidP="001248D3" w:rsidRDefault="001248D3">
            <w:pPr>
              <w:autoSpaceDE w:val="0"/>
              <w:autoSpaceDN w:val="0"/>
              <w:adjustRightInd w:val="0"/>
              <w:rPr>
                <w:rFonts w:ascii="ArialMTStd-Bold" w:hAnsi="ArialMTStd-Bold" w:cs="ArialMTStd-Bold"/>
                <w:b/>
                <w:bCs/>
                <w:sz w:val="18"/>
                <w:szCs w:val="18"/>
                <w:lang w:bidi="th-TH"/>
              </w:rPr>
            </w:pPr>
          </w:p>
          <w:p w:rsidR="001248D3" w:rsidP="001248D3" w:rsidRDefault="001248D3">
            <w:pPr>
              <w:autoSpaceDE w:val="0"/>
              <w:autoSpaceDN w:val="0"/>
              <w:adjustRightInd w:val="0"/>
              <w:rPr>
                <w:rFonts w:ascii="ArialMTStd-Bold" w:hAnsi="ArialMTStd-Bold" w:cs="ArialMTStd-Bold"/>
                <w:b/>
                <w:bCs/>
                <w:sz w:val="18"/>
                <w:szCs w:val="18"/>
                <w:lang w:bidi="th-TH"/>
              </w:rPr>
            </w:pPr>
            <w:r>
              <w:rPr>
                <w:rFonts w:ascii="ArialMTStd-Bold" w:hAnsi="ArialMTStd-Bold" w:cs="ArialMTStd-Bold"/>
                <w:b/>
                <w:bCs/>
                <w:sz w:val="18"/>
                <w:szCs w:val="18"/>
                <w:lang w:bidi="th-TH"/>
              </w:rPr>
              <w:t>Approved mechanisms for transferring this type of data include:</w:t>
            </w:r>
          </w:p>
          <w:p w:rsidR="001248D3" w:rsidP="001248D3" w:rsidRDefault="001248D3">
            <w:pPr>
              <w:autoSpaceDE w:val="0"/>
              <w:autoSpaceDN w:val="0"/>
              <w:adjustRightInd w:val="0"/>
              <w:rPr>
                <w:rFonts w:ascii="ArialMTStd-Bold" w:hAnsi="ArialMTStd-Bold" w:cs="ArialMTStd-Bold"/>
                <w:b/>
                <w:bCs/>
                <w:sz w:val="18"/>
                <w:szCs w:val="18"/>
                <w:lang w:bidi="th-TH"/>
              </w:rPr>
            </w:pPr>
          </w:p>
          <w:p w:rsidR="001248D3" w:rsidP="001248D3" w:rsidRDefault="001248D3">
            <w:pPr>
              <w:autoSpaceDE w:val="0"/>
              <w:autoSpaceDN w:val="0"/>
              <w:adjustRightInd w:val="0"/>
              <w:rPr>
                <w:rFonts w:ascii="ArialMTStd-Bold" w:hAnsi="ArialMTStd-Bold" w:cs="ArialMTStd-Bold"/>
                <w:b/>
                <w:bCs/>
                <w:sz w:val="18"/>
                <w:szCs w:val="18"/>
                <w:lang w:bidi="th-TH"/>
              </w:rPr>
            </w:pPr>
            <w:r>
              <w:rPr>
                <w:rFonts w:ascii="ArialMTStd" w:hAnsi="ArialMTStd" w:cs="ArialMTStd"/>
                <w:sz w:val="18"/>
                <w:szCs w:val="18"/>
                <w:lang w:bidi="th-TH"/>
              </w:rPr>
              <w:t xml:space="preserve">• </w:t>
            </w:r>
            <w:r>
              <w:rPr>
                <w:rFonts w:ascii="ArialMTStd-Bold" w:hAnsi="ArialMTStd-Bold" w:cs="ArialMTStd-Bold"/>
                <w:b/>
                <w:bCs/>
                <w:sz w:val="18"/>
                <w:szCs w:val="18"/>
                <w:lang w:bidi="th-TH"/>
              </w:rPr>
              <w:t xml:space="preserve">AES 256-bit encryption or higher </w:t>
            </w:r>
            <w:r>
              <w:rPr>
                <w:rFonts w:ascii="ArialMTStd" w:hAnsi="ArialMTStd" w:cs="ArialMTStd"/>
                <w:sz w:val="18"/>
                <w:szCs w:val="18"/>
                <w:lang w:bidi="th-TH"/>
              </w:rPr>
              <w:t xml:space="preserve">of email attachments using a tool such as </w:t>
            </w:r>
            <w:r>
              <w:rPr>
                <w:rFonts w:ascii="ArialMTStd-Bold" w:hAnsi="ArialMTStd-Bold" w:cs="ArialMTStd-Bold"/>
                <w:b/>
                <w:bCs/>
                <w:sz w:val="18"/>
                <w:szCs w:val="18"/>
                <w:lang w:bidi="th-TH"/>
              </w:rPr>
              <w:t xml:space="preserve">7-Zip </w:t>
            </w:r>
            <w:r>
              <w:rPr>
                <w:rFonts w:ascii="ArialMTStd" w:hAnsi="ArialMTStd" w:cs="ArialMTStd"/>
                <w:sz w:val="18"/>
                <w:szCs w:val="18"/>
                <w:lang w:bidi="th-TH"/>
              </w:rPr>
              <w:t xml:space="preserve">or </w:t>
            </w:r>
            <w:r>
              <w:rPr>
                <w:rFonts w:ascii="ArialMTStd-Bold" w:hAnsi="ArialMTStd-Bold" w:cs="ArialMTStd-Bold"/>
                <w:b/>
                <w:bCs/>
                <w:sz w:val="18"/>
                <w:szCs w:val="18"/>
                <w:lang w:bidi="th-TH"/>
              </w:rPr>
              <w:t xml:space="preserve">WinZip </w:t>
            </w:r>
          </w:p>
          <w:p w:rsidR="001248D3" w:rsidP="001248D3" w:rsidRDefault="001248D3">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xml:space="preserve">• </w:t>
            </w:r>
            <w:proofErr w:type="spellStart"/>
            <w:r>
              <w:rPr>
                <w:rFonts w:ascii="ArialMTStd-Bold" w:hAnsi="ArialMTStd-Bold" w:cs="ArialMTStd-Bold"/>
                <w:b/>
                <w:bCs/>
                <w:sz w:val="18"/>
                <w:szCs w:val="18"/>
                <w:lang w:bidi="th-TH"/>
              </w:rPr>
              <w:t>NHSmail</w:t>
            </w:r>
            <w:proofErr w:type="spellEnd"/>
            <w:r>
              <w:rPr>
                <w:rFonts w:ascii="ArialMTStd-Bold" w:hAnsi="ArialMTStd-Bold" w:cs="ArialMTStd-Bold"/>
                <w:b/>
                <w:bCs/>
                <w:sz w:val="18"/>
                <w:szCs w:val="18"/>
                <w:lang w:bidi="th-TH"/>
              </w:rPr>
              <w:t xml:space="preserve"> </w:t>
            </w:r>
            <w:r>
              <w:rPr>
                <w:rFonts w:ascii="ArialMTStd" w:hAnsi="ArialMTStd" w:cs="ArialMTStd"/>
                <w:sz w:val="18"/>
                <w:szCs w:val="18"/>
                <w:lang w:bidi="th-TH"/>
              </w:rPr>
              <w:t xml:space="preserve">is secure when both the sender and receiver have a </w:t>
            </w:r>
            <w:proofErr w:type="spellStart"/>
            <w:r>
              <w:rPr>
                <w:rFonts w:ascii="ArialMTStd" w:hAnsi="ArialMTStd" w:cs="ArialMTStd"/>
                <w:sz w:val="18"/>
                <w:szCs w:val="18"/>
                <w:lang w:bidi="th-TH"/>
              </w:rPr>
              <w:t>NHSmail</w:t>
            </w:r>
            <w:proofErr w:type="spellEnd"/>
            <w:r>
              <w:rPr>
                <w:rFonts w:ascii="ArialMTStd" w:hAnsi="ArialMTStd" w:cs="ArialMTStd"/>
                <w:sz w:val="18"/>
                <w:szCs w:val="18"/>
                <w:lang w:bidi="th-TH"/>
              </w:rPr>
              <w:t xml:space="preserve"> address (with the suffix @</w:t>
            </w:r>
            <w:r>
              <w:rPr>
                <w:rFonts w:ascii="ArialMTStd-Bold" w:hAnsi="ArialMTStd-Bold" w:cs="ArialMTStd-Bold"/>
                <w:b/>
                <w:bCs/>
                <w:sz w:val="18"/>
                <w:szCs w:val="18"/>
                <w:lang w:bidi="th-TH"/>
              </w:rPr>
              <w:t>nhs.net</w:t>
            </w:r>
            <w:r>
              <w:rPr>
                <w:rFonts w:ascii="ArialMTStd" w:hAnsi="ArialMTStd" w:cs="ArialMTStd"/>
                <w:sz w:val="18"/>
                <w:szCs w:val="18"/>
                <w:lang w:bidi="th-TH"/>
              </w:rPr>
              <w:t>)</w:t>
            </w:r>
          </w:p>
          <w:p w:rsidR="001248D3" w:rsidP="001248D3" w:rsidRDefault="001248D3">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xml:space="preserve">• </w:t>
            </w:r>
            <w:r>
              <w:rPr>
                <w:rFonts w:ascii="ArialMTStd-Bold" w:hAnsi="ArialMTStd-Bold" w:cs="ArialMTStd-Bold"/>
                <w:b/>
                <w:bCs/>
                <w:sz w:val="18"/>
                <w:szCs w:val="18"/>
                <w:lang w:bidi="th-TH"/>
              </w:rPr>
              <w:t xml:space="preserve">Public key encryption </w:t>
            </w:r>
            <w:r>
              <w:rPr>
                <w:rFonts w:ascii="ArialMTStd" w:hAnsi="ArialMTStd" w:cs="ArialMTStd"/>
                <w:sz w:val="18"/>
                <w:szCs w:val="18"/>
                <w:lang w:bidi="th-TH"/>
              </w:rPr>
              <w:t xml:space="preserve">of emails using a tool such as </w:t>
            </w:r>
            <w:proofErr w:type="spellStart"/>
            <w:r>
              <w:rPr>
                <w:rFonts w:ascii="ArialMTStd" w:hAnsi="ArialMTStd" w:cs="ArialMTStd"/>
                <w:sz w:val="18"/>
                <w:szCs w:val="18"/>
                <w:lang w:bidi="th-TH"/>
              </w:rPr>
              <w:t>OpenPGP</w:t>
            </w:r>
            <w:proofErr w:type="spellEnd"/>
            <w:r>
              <w:rPr>
                <w:rFonts w:ascii="ArialMTStd" w:hAnsi="ArialMTStd" w:cs="ArialMTStd"/>
                <w:sz w:val="18"/>
                <w:szCs w:val="18"/>
                <w:lang w:bidi="th-TH"/>
              </w:rPr>
              <w:t xml:space="preserve"> using </w:t>
            </w:r>
            <w:r>
              <w:rPr>
                <w:rFonts w:ascii="ArialMTStd-Bold" w:hAnsi="ArialMTStd-Bold" w:cs="ArialMTStd-Bold"/>
                <w:b/>
                <w:bCs/>
                <w:sz w:val="18"/>
                <w:szCs w:val="18"/>
                <w:lang w:bidi="th-TH"/>
              </w:rPr>
              <w:t xml:space="preserve">AES 256-bit encryption </w:t>
            </w:r>
            <w:r>
              <w:rPr>
                <w:rFonts w:ascii="ArialMTStd" w:hAnsi="ArialMTStd" w:cs="ArialMTStd"/>
                <w:sz w:val="18"/>
                <w:szCs w:val="18"/>
                <w:lang w:bidi="th-TH"/>
              </w:rPr>
              <w:t>or higher encryption</w:t>
            </w:r>
          </w:p>
          <w:p w:rsidR="001248D3" w:rsidP="001248D3" w:rsidRDefault="001248D3">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 SGUL IT Services should be contacted in respect of providing secure FTP</w:t>
            </w:r>
          </w:p>
          <w:p w:rsidR="001248D3" w:rsidP="001248D3" w:rsidRDefault="00580AAE">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services</w:t>
            </w:r>
            <w:r w:rsidR="001248D3">
              <w:rPr>
                <w:rFonts w:ascii="ArialMTStd" w:hAnsi="ArialMTStd" w:cs="ArialMTStd"/>
                <w:sz w:val="18"/>
                <w:szCs w:val="18"/>
                <w:lang w:bidi="th-TH"/>
              </w:rPr>
              <w:t xml:space="preserve"> outside of the</w:t>
            </w:r>
          </w:p>
          <w:p w:rsidR="001248D3" w:rsidP="001248D3" w:rsidRDefault="006366FC">
            <w:pPr>
              <w:autoSpaceDE w:val="0"/>
              <w:autoSpaceDN w:val="0"/>
              <w:adjustRightInd w:val="0"/>
              <w:rPr>
                <w:rFonts w:ascii="ArialMTStd" w:hAnsi="ArialMTStd" w:cs="ArialMTStd"/>
                <w:sz w:val="18"/>
                <w:szCs w:val="18"/>
                <w:lang w:bidi="th-TH"/>
              </w:rPr>
            </w:pPr>
            <w:r>
              <w:rPr>
                <w:rFonts w:ascii="ArialMTStd" w:hAnsi="ArialMTStd" w:cs="ArialMTStd"/>
                <w:sz w:val="18"/>
                <w:szCs w:val="18"/>
                <w:lang w:bidi="th-TH"/>
              </w:rPr>
              <w:t>SGUL</w:t>
            </w:r>
            <w:r w:rsidR="001248D3">
              <w:rPr>
                <w:rFonts w:ascii="ArialMTStd" w:hAnsi="ArialMTStd" w:cs="ArialMTStd"/>
                <w:sz w:val="18"/>
                <w:szCs w:val="18"/>
                <w:lang w:bidi="th-TH"/>
              </w:rPr>
              <w:t xml:space="preserve"> network</w:t>
            </w:r>
          </w:p>
          <w:p w:rsidR="00580AAE" w:rsidP="001248D3" w:rsidRDefault="00580AAE">
            <w:pPr>
              <w:autoSpaceDE w:val="0"/>
              <w:autoSpaceDN w:val="0"/>
              <w:adjustRightInd w:val="0"/>
              <w:rPr>
                <w:rFonts w:ascii="ArialMTStd" w:hAnsi="ArialMTStd" w:cs="ArialMTStd"/>
                <w:sz w:val="18"/>
                <w:szCs w:val="18"/>
                <w:lang w:bidi="th-TH"/>
              </w:rPr>
            </w:pPr>
          </w:p>
          <w:p w:rsidR="001248D3" w:rsidP="001248D3" w:rsidRDefault="001248D3">
            <w:pPr>
              <w:autoSpaceDE w:val="0"/>
              <w:autoSpaceDN w:val="0"/>
              <w:adjustRightInd w:val="0"/>
              <w:rPr>
                <w:rFonts w:ascii="ArialMTStd-Bold" w:hAnsi="ArialMTStd-Bold" w:cs="ArialMTStd-Bold"/>
                <w:b/>
                <w:bCs/>
                <w:sz w:val="18"/>
                <w:szCs w:val="18"/>
                <w:lang w:bidi="th-TH"/>
              </w:rPr>
            </w:pPr>
            <w:r>
              <w:rPr>
                <w:rFonts w:ascii="ArialMTStd" w:hAnsi="ArialMTStd" w:cs="ArialMTStd"/>
                <w:sz w:val="18"/>
                <w:szCs w:val="18"/>
                <w:lang w:bidi="th-TH"/>
              </w:rPr>
              <w:t xml:space="preserve"> Report all information incidents to the </w:t>
            </w:r>
            <w:r w:rsidR="00580AAE">
              <w:rPr>
                <w:rFonts w:ascii="ArialMTStd" w:hAnsi="ArialMTStd" w:cs="ArialMTStd"/>
                <w:sz w:val="18"/>
                <w:szCs w:val="18"/>
                <w:lang w:bidi="th-TH"/>
              </w:rPr>
              <w:t>SGUL Data Protection Officer</w:t>
            </w:r>
            <w:r>
              <w:rPr>
                <w:rFonts w:ascii="ArialMTStd-Bold" w:hAnsi="ArialMTStd-Bold" w:cs="ArialMTStd-Bold"/>
                <w:b/>
                <w:bCs/>
                <w:sz w:val="18"/>
                <w:szCs w:val="18"/>
                <w:lang w:bidi="th-TH"/>
              </w:rPr>
              <w:t xml:space="preserve"> </w:t>
            </w:r>
          </w:p>
          <w:p w:rsidR="001248D3" w:rsidP="001248D3" w:rsidRDefault="001248D3">
            <w:pPr>
              <w:rPr>
                <w:rFonts w:ascii="ArialMTStd-Bold" w:hAnsi="ArialMTStd-Bold" w:cs="ArialMTStd-Bold"/>
                <w:b/>
                <w:bCs/>
                <w:sz w:val="18"/>
                <w:szCs w:val="18"/>
                <w:lang w:bidi="th-TH"/>
              </w:rPr>
            </w:pPr>
            <w:r>
              <w:rPr>
                <w:rFonts w:ascii="ArialMTStd-Bold" w:hAnsi="ArialMTStd-Bold" w:cs="ArialMTStd-Bold"/>
                <w:b/>
                <w:bCs/>
                <w:sz w:val="18"/>
                <w:szCs w:val="18"/>
                <w:lang w:bidi="th-TH"/>
              </w:rPr>
              <w:t>For further advice and guidance:</w:t>
            </w:r>
          </w:p>
          <w:p w:rsidR="001248D3" w:rsidP="001248D3" w:rsidRDefault="001248D3">
            <w:pPr>
              <w:rPr>
                <w:rFonts w:ascii="ArialMTStd-Bold" w:hAnsi="ArialMTStd-Bold" w:cs="ArialMTStd-Bold"/>
                <w:b/>
                <w:bCs/>
                <w:sz w:val="18"/>
                <w:szCs w:val="18"/>
                <w:lang w:bidi="th-TH"/>
              </w:rPr>
            </w:pPr>
          </w:p>
          <w:p w:rsidR="00EA65A1" w:rsidP="001248D3" w:rsidRDefault="0000027D">
            <w:pPr>
              <w:rPr>
                <w:rFonts w:ascii="ArialMTStd-Bold" w:hAnsi="ArialMTStd-Bold" w:cs="ArialMTStd-Bold"/>
                <w:b/>
                <w:bCs/>
                <w:sz w:val="18"/>
                <w:szCs w:val="18"/>
                <w:lang w:bidi="th-TH"/>
              </w:rPr>
            </w:pPr>
            <w:hyperlink w:history="1" r:id="rId11">
              <w:r w:rsidRPr="0000027D" w:rsidR="00EA65A1">
                <w:rPr>
                  <w:rStyle w:val="Hyperlink"/>
                  <w:rFonts w:ascii="ArialMTStd-Bold" w:hAnsi="ArialMTStd-Bold" w:cs="ArialMTStd-Bold"/>
                  <w:b/>
                  <w:bCs/>
                  <w:sz w:val="18"/>
                  <w:szCs w:val="18"/>
                  <w:lang w:bidi="th-TH"/>
                </w:rPr>
                <w:t>SGUL Intranet pages</w:t>
              </w:r>
            </w:hyperlink>
            <w:r w:rsidR="00EA65A1">
              <w:rPr>
                <w:rFonts w:ascii="ArialMTStd-Bold" w:hAnsi="ArialMTStd-Bold" w:cs="ArialMTStd-Bold"/>
                <w:b/>
                <w:bCs/>
                <w:sz w:val="18"/>
                <w:szCs w:val="18"/>
                <w:lang w:bidi="th-TH"/>
              </w:rPr>
              <w:t>:</w:t>
            </w:r>
          </w:p>
          <w:p w:rsidR="00EA65A1" w:rsidP="001248D3" w:rsidRDefault="00EA65A1">
            <w:pPr>
              <w:rPr>
                <w:rFonts w:ascii="ArialMTStd-Bold" w:hAnsi="ArialMTStd-Bold" w:cs="ArialMTStd-Bold"/>
                <w:b/>
                <w:bCs/>
                <w:sz w:val="18"/>
                <w:szCs w:val="18"/>
                <w:lang w:bidi="th-TH"/>
              </w:rPr>
            </w:pPr>
          </w:p>
          <w:p w:rsidR="001248D3" w:rsidP="001248D3" w:rsidRDefault="001248D3"/>
        </w:tc>
        <w:tc>
          <w:tcPr>
            <w:tcW w:w="3544" w:type="dxa"/>
          </w:tcPr>
          <w:p w:rsidR="00BE21B0" w:rsidRDefault="00BE21B0"/>
          <w:p w:rsidRPr="001F34E2" w:rsidR="001F34E2" w:rsidRDefault="001F34E2">
            <w:pPr>
              <w:rPr>
                <w:rFonts w:ascii="Arial" w:hAnsi="Arial" w:cs="Arial"/>
                <w:b/>
                <w:bCs/>
                <w:color w:val="1F497D" w:themeColor="text2"/>
                <w:sz w:val="24"/>
                <w:szCs w:val="24"/>
              </w:rPr>
            </w:pPr>
            <w:proofErr w:type="spellStart"/>
            <w:r w:rsidRPr="001F34E2">
              <w:rPr>
                <w:rFonts w:ascii="Arial" w:hAnsi="Arial" w:cs="Arial"/>
                <w:b/>
                <w:bCs/>
                <w:color w:val="1F497D" w:themeColor="text2"/>
                <w:sz w:val="24"/>
                <w:szCs w:val="24"/>
              </w:rPr>
              <w:t>Dont</w:t>
            </w:r>
            <w:proofErr w:type="spellEnd"/>
            <w:r w:rsidRPr="001F34E2">
              <w:rPr>
                <w:rFonts w:ascii="Arial" w:hAnsi="Arial" w:cs="Arial"/>
                <w:b/>
                <w:bCs/>
                <w:color w:val="1F497D" w:themeColor="text2"/>
                <w:sz w:val="24"/>
                <w:szCs w:val="24"/>
              </w:rPr>
              <w:t>...</w:t>
            </w:r>
          </w:p>
          <w:p w:rsidR="001F34E2" w:rsidRDefault="001F34E2"/>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ignore the Data Protection Act’s eight principles</w:t>
            </w:r>
          </w:p>
          <w:p w:rsidRPr="001F34E2" w:rsidR="001F34E2" w:rsidP="001F34E2" w:rsidRDefault="001F34E2">
            <w:pPr>
              <w:autoSpaceDE w:val="0"/>
              <w:autoSpaceDN w:val="0"/>
              <w:adjustRightInd w:val="0"/>
              <w:rPr>
                <w:rFonts w:ascii="ArialMTStd" w:hAnsi="ArialMTStd" w:cs="ArialMTStd"/>
                <w:sz w:val="18"/>
                <w:szCs w:val="18"/>
                <w:lang w:bidi="th-TH"/>
              </w:rPr>
            </w:pP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disclose personal data without confirming the identity of</w:t>
            </w:r>
            <w:r>
              <w:rPr>
                <w:rFonts w:ascii="ArialMTStd" w:hAnsi="ArialMTStd" w:cs="ArialMTStd"/>
                <w:sz w:val="18"/>
                <w:szCs w:val="18"/>
                <w:lang w:bidi="th-TH"/>
              </w:rPr>
              <w:t xml:space="preserve"> </w:t>
            </w:r>
            <w:r w:rsidRPr="001F34E2">
              <w:rPr>
                <w:rFonts w:ascii="ArialMTStd" w:hAnsi="ArialMTStd" w:cs="ArialMTStd"/>
                <w:sz w:val="18"/>
                <w:szCs w:val="18"/>
                <w:lang w:bidi="th-TH"/>
              </w:rPr>
              <w:t>the recipient and that they have a justifiable need to know</w:t>
            </w:r>
          </w:p>
          <w:p w:rsidRPr="001F34E2" w:rsidR="001F34E2" w:rsidP="001F34E2" w:rsidRDefault="001F34E2">
            <w:pPr>
              <w:autoSpaceDE w:val="0"/>
              <w:autoSpaceDN w:val="0"/>
              <w:adjustRightInd w:val="0"/>
              <w:rPr>
                <w:rFonts w:ascii="ArialMTStd" w:hAnsi="ArialMTStd" w:cs="ArialMTStd"/>
                <w:sz w:val="18"/>
                <w:szCs w:val="18"/>
                <w:lang w:bidi="th-TH"/>
              </w:rPr>
            </w:pP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send any more personal data than the minimum</w:t>
            </w:r>
            <w:r>
              <w:rPr>
                <w:rFonts w:ascii="ArialMTStd" w:hAnsi="ArialMTStd" w:cs="ArialMTStd"/>
                <w:sz w:val="18"/>
                <w:szCs w:val="18"/>
                <w:lang w:bidi="th-TH"/>
              </w:rPr>
              <w:t xml:space="preserve"> </w:t>
            </w:r>
            <w:r w:rsidRPr="001F34E2">
              <w:rPr>
                <w:rFonts w:ascii="ArialMTStd" w:hAnsi="ArialMTStd" w:cs="ArialMTStd"/>
                <w:sz w:val="18"/>
                <w:szCs w:val="18"/>
                <w:lang w:bidi="th-TH"/>
              </w:rPr>
              <w:t>necessary dataset</w:t>
            </w:r>
          </w:p>
          <w:p w:rsidRPr="001F34E2" w:rsidR="001F34E2" w:rsidP="001F34E2" w:rsidRDefault="001F34E2">
            <w:pPr>
              <w:autoSpaceDE w:val="0"/>
              <w:autoSpaceDN w:val="0"/>
              <w:adjustRightInd w:val="0"/>
              <w:rPr>
                <w:rFonts w:ascii="ArialMTStd" w:hAnsi="ArialMTStd" w:cs="ArialMTStd"/>
                <w:sz w:val="18"/>
                <w:szCs w:val="18"/>
                <w:lang w:bidi="th-TH"/>
              </w:rPr>
            </w:pP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where an alternative is available, send personal or</w:t>
            </w:r>
            <w:r>
              <w:rPr>
                <w:rFonts w:ascii="ArialMTStd" w:hAnsi="ArialMTStd" w:cs="ArialMTStd"/>
                <w:sz w:val="18"/>
                <w:szCs w:val="18"/>
                <w:lang w:bidi="th-TH"/>
              </w:rPr>
              <w:t xml:space="preserve"> </w:t>
            </w:r>
            <w:r w:rsidRPr="001F34E2">
              <w:rPr>
                <w:rFonts w:ascii="ArialMTStd" w:hAnsi="ArialMTStd" w:cs="ArialMTStd"/>
                <w:sz w:val="18"/>
                <w:szCs w:val="18"/>
                <w:lang w:bidi="th-TH"/>
              </w:rPr>
              <w:t>sensitive personal data by fax</w:t>
            </w:r>
          </w:p>
          <w:p w:rsidRPr="001F34E2" w:rsidR="001F34E2" w:rsidP="001F34E2" w:rsidRDefault="001F34E2">
            <w:pPr>
              <w:autoSpaceDE w:val="0"/>
              <w:autoSpaceDN w:val="0"/>
              <w:adjustRightInd w:val="0"/>
              <w:rPr>
                <w:rFonts w:ascii="ArialMTStd" w:hAnsi="ArialMTStd" w:cs="ArialMTStd"/>
                <w:sz w:val="18"/>
                <w:szCs w:val="18"/>
                <w:lang w:bidi="th-TH"/>
              </w:rPr>
            </w:pP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access websites that may contain inappropriate or</w:t>
            </w:r>
            <w:r>
              <w:rPr>
                <w:rFonts w:ascii="ArialMTStd" w:hAnsi="ArialMTStd" w:cs="ArialMTStd"/>
                <w:sz w:val="18"/>
                <w:szCs w:val="18"/>
                <w:lang w:bidi="th-TH"/>
              </w:rPr>
              <w:t xml:space="preserve"> </w:t>
            </w:r>
            <w:r w:rsidRPr="001F34E2">
              <w:rPr>
                <w:rFonts w:ascii="ArialMTStd" w:hAnsi="ArialMTStd" w:cs="ArialMTStd"/>
                <w:sz w:val="18"/>
                <w:szCs w:val="18"/>
                <w:lang w:bidi="th-TH"/>
              </w:rPr>
              <w:t>offensive material</w:t>
            </w:r>
          </w:p>
          <w:p w:rsidRPr="001F34E2" w:rsidR="001F34E2" w:rsidP="001F34E2" w:rsidRDefault="001F34E2">
            <w:pPr>
              <w:autoSpaceDE w:val="0"/>
              <w:autoSpaceDN w:val="0"/>
              <w:adjustRightInd w:val="0"/>
              <w:rPr>
                <w:rFonts w:ascii="ArialMTStd" w:hAnsi="ArialMTStd" w:cs="ArialMTStd"/>
                <w:sz w:val="18"/>
                <w:szCs w:val="18"/>
                <w:lang w:bidi="th-TH"/>
              </w:rPr>
            </w:pP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include personal or sensitive data in the title of your</w:t>
            </w:r>
            <w:r>
              <w:rPr>
                <w:rFonts w:ascii="ArialMTStd" w:hAnsi="ArialMTStd" w:cs="ArialMTStd"/>
                <w:sz w:val="18"/>
                <w:szCs w:val="18"/>
                <w:lang w:bidi="th-TH"/>
              </w:rPr>
              <w:t xml:space="preserve"> </w:t>
            </w:r>
            <w:r w:rsidRPr="001F34E2">
              <w:rPr>
                <w:rFonts w:ascii="ArialMTStd" w:hAnsi="ArialMTStd" w:cs="ArialMTStd"/>
                <w:sz w:val="18"/>
                <w:szCs w:val="18"/>
                <w:lang w:bidi="th-TH"/>
              </w:rPr>
              <w:t>email message</w:t>
            </w:r>
          </w:p>
          <w:p w:rsidRPr="001F34E2" w:rsidR="001F34E2" w:rsidP="001F34E2" w:rsidRDefault="001F34E2">
            <w:pPr>
              <w:autoSpaceDE w:val="0"/>
              <w:autoSpaceDN w:val="0"/>
              <w:adjustRightInd w:val="0"/>
              <w:rPr>
                <w:rFonts w:ascii="ArialMTStd" w:hAnsi="ArialMTStd" w:cs="ArialMTStd"/>
                <w:sz w:val="18"/>
                <w:szCs w:val="18"/>
                <w:lang w:bidi="th-TH"/>
              </w:rPr>
            </w:pPr>
          </w:p>
          <w:p w:rsidRPr="001F34E2"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download files or open email attachments without being</w:t>
            </w:r>
            <w:r>
              <w:rPr>
                <w:rFonts w:ascii="ArialMTStd" w:hAnsi="ArialMTStd" w:cs="ArialMTStd"/>
                <w:sz w:val="18"/>
                <w:szCs w:val="18"/>
                <w:lang w:bidi="th-TH"/>
              </w:rPr>
              <w:t xml:space="preserve"> </w:t>
            </w:r>
            <w:r w:rsidRPr="001F34E2">
              <w:rPr>
                <w:rFonts w:ascii="ArialMTStd" w:hAnsi="ArialMTStd" w:cs="ArialMTStd"/>
                <w:sz w:val="18"/>
                <w:szCs w:val="18"/>
                <w:lang w:bidi="th-TH"/>
              </w:rPr>
              <w:t>absolutely certain that you can trust the sender and</w:t>
            </w: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the content</w:t>
            </w:r>
          </w:p>
          <w:p w:rsidRPr="001F34E2" w:rsidR="001F34E2" w:rsidP="001F34E2" w:rsidRDefault="001F34E2">
            <w:pPr>
              <w:autoSpaceDE w:val="0"/>
              <w:autoSpaceDN w:val="0"/>
              <w:adjustRightInd w:val="0"/>
              <w:rPr>
                <w:rFonts w:ascii="ArialMTStd" w:hAnsi="ArialMTStd" w:cs="ArialMTStd"/>
                <w:sz w:val="18"/>
                <w:szCs w:val="18"/>
                <w:lang w:bidi="th-TH"/>
              </w:rPr>
            </w:pP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send large attachments to multiple recipients</w:t>
            </w:r>
          </w:p>
          <w:p w:rsidRPr="001F34E2" w:rsidR="001F34E2" w:rsidP="001F34E2" w:rsidRDefault="001F34E2">
            <w:pPr>
              <w:autoSpaceDE w:val="0"/>
              <w:autoSpaceDN w:val="0"/>
              <w:adjustRightInd w:val="0"/>
              <w:rPr>
                <w:rFonts w:ascii="ArialMTStd" w:hAnsi="ArialMTStd" w:cs="ArialMTStd"/>
                <w:sz w:val="18"/>
                <w:szCs w:val="18"/>
                <w:lang w:bidi="th-TH"/>
              </w:rPr>
            </w:pPr>
          </w:p>
          <w:p w:rsidR="001F34E2" w:rsidP="001F34E2" w:rsidRDefault="001F34E2">
            <w:pPr>
              <w:autoSpaceDE w:val="0"/>
              <w:autoSpaceDN w:val="0"/>
              <w:adjustRightInd w:val="0"/>
              <w:rPr>
                <w:rFonts w:ascii="ArialMTStd" w:hAnsi="ArialMTStd" w:cs="ArialMTStd"/>
                <w:sz w:val="18"/>
                <w:szCs w:val="18"/>
                <w:lang w:bidi="th-TH"/>
              </w:rPr>
            </w:pPr>
            <w:r w:rsidRPr="001F34E2">
              <w:rPr>
                <w:rFonts w:ascii="ArialMTStd" w:hAnsi="ArialMTStd" w:cs="ArialMTStd"/>
                <w:sz w:val="18"/>
                <w:szCs w:val="18"/>
                <w:lang w:bidi="th-TH"/>
              </w:rPr>
              <w:t>• send or forward junk mail, chain letters or virus warnings –</w:t>
            </w:r>
            <w:r>
              <w:rPr>
                <w:rFonts w:ascii="ArialMTStd" w:hAnsi="ArialMTStd" w:cs="ArialMTStd"/>
                <w:sz w:val="18"/>
                <w:szCs w:val="18"/>
                <w:lang w:bidi="th-TH"/>
              </w:rPr>
              <w:t xml:space="preserve"> </w:t>
            </w:r>
            <w:r w:rsidRPr="001F34E2">
              <w:rPr>
                <w:rFonts w:ascii="ArialMTStd" w:hAnsi="ArialMTStd" w:cs="ArialMTStd"/>
                <w:sz w:val="18"/>
                <w:szCs w:val="18"/>
                <w:lang w:bidi="th-TH"/>
              </w:rPr>
              <w:t>these may be hoaxes or dangerous.</w:t>
            </w:r>
          </w:p>
          <w:p w:rsidR="00EA65A1" w:rsidRDefault="00EA65A1"/>
          <w:p w:rsidRPr="00EA65A1" w:rsidR="001F34E2" w:rsidRDefault="001F34E2">
            <w:pPr>
              <w:rPr>
                <w:b/>
              </w:rPr>
            </w:pPr>
            <w:r w:rsidRPr="00EA65A1">
              <w:rPr>
                <w:b/>
              </w:rPr>
              <w:t>Contact</w:t>
            </w:r>
          </w:p>
          <w:p w:rsidRPr="00EA65A1" w:rsidR="001F34E2" w:rsidRDefault="001F34E2">
            <w:pPr>
              <w:rPr>
                <w:color w:val="1F497D" w:themeColor="text2"/>
              </w:rPr>
            </w:pPr>
            <w:r w:rsidRPr="00EA65A1">
              <w:rPr>
                <w:color w:val="1F497D" w:themeColor="text2"/>
              </w:rPr>
              <w:t>Email:</w:t>
            </w:r>
            <w:r w:rsidRPr="00EA65A1" w:rsidR="00164410">
              <w:rPr>
                <w:color w:val="1F497D" w:themeColor="text2"/>
              </w:rPr>
              <w:t xml:space="preserve"> </w:t>
            </w:r>
            <w:hyperlink w:history="1" r:id="rId12">
              <w:r w:rsidRPr="0000027D" w:rsidR="0000027D">
                <w:rPr>
                  <w:rStyle w:val="Hyperlink"/>
                </w:rPr>
                <w:t>dataprotection</w:t>
              </w:r>
              <w:r w:rsidRPr="0000027D" w:rsidR="00164410">
                <w:rPr>
                  <w:rStyle w:val="Hyperlink"/>
                </w:rPr>
                <w:t>@sgul.ac.uk</w:t>
              </w:r>
            </w:hyperlink>
          </w:p>
          <w:p w:rsidR="001F34E2" w:rsidP="001F34E2" w:rsidRDefault="001F34E2"/>
        </w:tc>
      </w:tr>
    </w:tbl>
    <w:p w:rsidR="00061276" w:rsidRDefault="00061276"/>
    <w:sectPr w:rsidR="00061276" w:rsidSect="00BE21B0">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939" w:rsidRDefault="00586939" w:rsidP="00586939">
      <w:pPr>
        <w:spacing w:after="0" w:line="240" w:lineRule="auto"/>
      </w:pPr>
      <w:r>
        <w:separator/>
      </w:r>
    </w:p>
  </w:endnote>
  <w:endnote w:type="continuationSeparator" w:id="0">
    <w:p w:rsidR="00586939" w:rsidRDefault="00586939" w:rsidP="0058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Std-Bold">
    <w:altName w:val="Arial"/>
    <w:panose1 w:val="00000000000000000000"/>
    <w:charset w:val="00"/>
    <w:family w:val="swiss"/>
    <w:notTrueType/>
    <w:pitch w:val="default"/>
    <w:sig w:usb0="00000003" w:usb1="00000000" w:usb2="00000000" w:usb3="00000000" w:csb0="00000001" w:csb1="00000000"/>
  </w:font>
  <w:font w:name="ArialMTStd-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7D" w:rsidRDefault="00000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39" w:rsidRDefault="00586939">
    <w:pPr>
      <w:pStyle w:val="Footer"/>
    </w:pPr>
    <w:r w:rsidRPr="00586939">
      <w:t>SGUL PI Leaflet</w:t>
    </w:r>
    <w:r>
      <w:t xml:space="preserve"> </w:t>
    </w:r>
    <w:r w:rsidR="0000027D">
      <w:t>01</w:t>
    </w:r>
    <w:r w:rsidR="00EA65A1">
      <w:t>/20</w:t>
    </w:r>
    <w:r w:rsidR="0000027D">
      <w:t>21</w:t>
    </w:r>
    <w:bookmarkStart w:id="0" w:name="_GoBack"/>
    <w:bookmarkEnd w:id="0"/>
  </w:p>
  <w:p w:rsidR="00C55D9B" w:rsidRDefault="00C55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7D" w:rsidRDefault="0000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939" w:rsidRDefault="00586939" w:rsidP="00586939">
      <w:pPr>
        <w:spacing w:after="0" w:line="240" w:lineRule="auto"/>
      </w:pPr>
      <w:r>
        <w:separator/>
      </w:r>
    </w:p>
  </w:footnote>
  <w:footnote w:type="continuationSeparator" w:id="0">
    <w:p w:rsidR="00586939" w:rsidRDefault="00586939" w:rsidP="0058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7D" w:rsidRDefault="00000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7D" w:rsidRDefault="00000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7D" w:rsidRDefault="00000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B0"/>
    <w:rsid w:val="0000027D"/>
    <w:rsid w:val="00061276"/>
    <w:rsid w:val="001248D3"/>
    <w:rsid w:val="00164410"/>
    <w:rsid w:val="00197A17"/>
    <w:rsid w:val="001F34E2"/>
    <w:rsid w:val="001F4F28"/>
    <w:rsid w:val="00281318"/>
    <w:rsid w:val="00400A26"/>
    <w:rsid w:val="004A60A0"/>
    <w:rsid w:val="00525DD7"/>
    <w:rsid w:val="00580AAE"/>
    <w:rsid w:val="00586939"/>
    <w:rsid w:val="006366FC"/>
    <w:rsid w:val="006F7515"/>
    <w:rsid w:val="008B1265"/>
    <w:rsid w:val="009252D8"/>
    <w:rsid w:val="00AD2A1B"/>
    <w:rsid w:val="00AF290A"/>
    <w:rsid w:val="00BE21B0"/>
    <w:rsid w:val="00C55D9B"/>
    <w:rsid w:val="00C60282"/>
    <w:rsid w:val="00CD1426"/>
    <w:rsid w:val="00EA65A1"/>
    <w:rsid w:val="00F308FE"/>
    <w:rsid w:val="00F6667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13C1"/>
  <w15:docId w15:val="{FCC1622F-38DB-4AB0-B099-7AB33FD3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1B0"/>
    <w:pPr>
      <w:ind w:left="720"/>
      <w:contextualSpacing/>
    </w:pPr>
  </w:style>
  <w:style w:type="paragraph" w:styleId="Header">
    <w:name w:val="header"/>
    <w:basedOn w:val="Normal"/>
    <w:link w:val="HeaderChar"/>
    <w:uiPriority w:val="99"/>
    <w:unhideWhenUsed/>
    <w:rsid w:val="00586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939"/>
  </w:style>
  <w:style w:type="paragraph" w:styleId="Footer">
    <w:name w:val="footer"/>
    <w:basedOn w:val="Normal"/>
    <w:link w:val="FooterChar"/>
    <w:uiPriority w:val="99"/>
    <w:unhideWhenUsed/>
    <w:rsid w:val="00586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939"/>
  </w:style>
  <w:style w:type="paragraph" w:styleId="BalloonText">
    <w:name w:val="Balloon Text"/>
    <w:basedOn w:val="Normal"/>
    <w:link w:val="BalloonTextChar"/>
    <w:uiPriority w:val="99"/>
    <w:semiHidden/>
    <w:unhideWhenUsed/>
    <w:rsid w:val="0063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FC"/>
    <w:rPr>
      <w:rFonts w:ascii="Tahoma" w:hAnsi="Tahoma" w:cs="Tahoma"/>
      <w:sz w:val="16"/>
      <w:szCs w:val="16"/>
    </w:rPr>
  </w:style>
  <w:style w:type="character" w:styleId="Hyperlink">
    <w:name w:val="Hyperlink"/>
    <w:basedOn w:val="DefaultParagraphFont"/>
    <w:uiPriority w:val="99"/>
    <w:unhideWhenUsed/>
    <w:rsid w:val="00400A26"/>
    <w:rPr>
      <w:color w:val="0000FF" w:themeColor="hyperlink"/>
      <w:u w:val="single"/>
    </w:rPr>
  </w:style>
  <w:style w:type="character" w:customStyle="1" w:styleId="Mention1">
    <w:name w:val="Mention1"/>
    <w:basedOn w:val="DefaultParagraphFont"/>
    <w:uiPriority w:val="99"/>
    <w:semiHidden/>
    <w:unhideWhenUsed/>
    <w:rsid w:val="00400A26"/>
    <w:rPr>
      <w:color w:val="2B579A"/>
      <w:shd w:val="clear" w:color="auto" w:fill="E6E6E6"/>
    </w:rPr>
  </w:style>
  <w:style w:type="character" w:styleId="UnresolvedMention">
    <w:name w:val="Unresolved Mention"/>
    <w:basedOn w:val="DefaultParagraphFont"/>
    <w:uiPriority w:val="99"/>
    <w:semiHidden/>
    <w:unhideWhenUsed/>
    <w:rsid w:val="0000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gul.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yperlink" Target="mailto:dataprotection@sgul.ac.uk"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ataprotection@sgul.ac.uk" TargetMode="External"/><Relationship Id="rId11" Type="http://schemas.openxmlformats.org/officeDocument/2006/relationships/hyperlink" Target="https://www.sgul.ac.uk/about/our-professional-services/information-services/information-governanc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sgul.ac.uk/about/our-professional-services/information-services/information-governanc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gul.ac.uk/about/our-professional-services/information-services/information-governanc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IG04-SGUL PI Leaflet PHRI Amend</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20210118-SGUL_PI_Leaflet-V2</dc:title>
  <dc:creator>shane</dc:creator>
  <cp:lastModifiedBy>Geoffrey Gray</cp:lastModifiedBy>
  <cp:revision>2</cp:revision>
  <dcterms:created xsi:type="dcterms:W3CDTF">2021-01-18T15:51:00Z</dcterms:created>
  <dcterms:modified xsi:type="dcterms:W3CDTF">2021-01-18T15:58:08Z</dcterms:modified>
  <cp:keywords>
  </cp:keywords>
  <dc:subject>
  </dc:subject>
</cp:coreProperties>
</file>