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C3243" w:rsidR="009C3243" w:rsidP="009C3243" w:rsidRDefault="009C3243" w14:paraId="08AE94E6" w14:textId="77777777">
      <w:pPr>
        <w:pStyle w:val="Default"/>
        <w:jc w:val="right"/>
      </w:pPr>
      <w:r w:rsidRPr="009C3243">
        <w:rPr>
          <w:noProof/>
          <w:lang w:eastAsia="en-GB"/>
        </w:rPr>
        <w:drawing>
          <wp:inline distT="0" distB="0" distL="0" distR="0" wp14:anchorId="4A138FE2" wp14:editId="6B83B38E">
            <wp:extent cx="220027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C3243" w:rsidR="009C3243" w:rsidP="009C3243" w:rsidRDefault="009C3243" w14:paraId="2C92E9F0" w14:textId="77777777">
      <w:pPr>
        <w:pStyle w:val="Default"/>
      </w:pPr>
    </w:p>
    <w:p w:rsidRPr="009C3243" w:rsidR="009C3243" w:rsidP="009C3243" w:rsidRDefault="009C3243" w14:paraId="1B256060" w14:textId="77777777">
      <w:pPr>
        <w:pStyle w:val="Default"/>
        <w:jc w:val="center"/>
      </w:pPr>
      <w:r w:rsidRPr="009C3243">
        <w:rPr>
          <w:b/>
          <w:bCs/>
        </w:rPr>
        <w:t>Resourcing Review Committee (RRC)</w:t>
      </w:r>
    </w:p>
    <w:p w:rsidRPr="009C3243" w:rsidR="009C3243" w:rsidP="009C3243" w:rsidRDefault="009C3243" w14:paraId="03EF0198" w14:textId="5855B3AC">
      <w:pPr>
        <w:pStyle w:val="Default"/>
        <w:jc w:val="center"/>
        <w:rPr>
          <w:b/>
          <w:bCs/>
        </w:rPr>
      </w:pPr>
      <w:r w:rsidRPr="009C3243">
        <w:rPr>
          <w:b/>
          <w:bCs/>
        </w:rPr>
        <w:t>Terms of Reference and Constitution 201</w:t>
      </w:r>
      <w:r w:rsidR="00B72B96">
        <w:rPr>
          <w:b/>
          <w:bCs/>
        </w:rPr>
        <w:t>9/20</w:t>
      </w:r>
    </w:p>
    <w:p w:rsidRPr="009C3243" w:rsidR="009C3243" w:rsidP="009C3243" w:rsidRDefault="009C3243" w14:paraId="031CD8F9" w14:textId="77777777">
      <w:pPr>
        <w:pStyle w:val="Default"/>
        <w:jc w:val="center"/>
      </w:pPr>
    </w:p>
    <w:p w:rsidR="009C3243" w:rsidP="009C3243" w:rsidRDefault="009C3243" w14:paraId="04BC7724" w14:textId="0B3D0FD2">
      <w:pPr>
        <w:pStyle w:val="Default"/>
      </w:pPr>
      <w:r w:rsidRPr="009C3243">
        <w:rPr>
          <w:b/>
          <w:bCs/>
        </w:rPr>
        <w:t>Purpose</w:t>
      </w:r>
    </w:p>
    <w:p w:rsidRPr="009C3243" w:rsidR="009C3243" w:rsidP="009C3243" w:rsidRDefault="009C3243" w14:paraId="4D3359C6" w14:textId="77777777">
      <w:pPr>
        <w:pStyle w:val="Default"/>
      </w:pPr>
    </w:p>
    <w:p w:rsidR="009C3243" w:rsidP="009C3243" w:rsidRDefault="009C3243" w14:paraId="4607EC84" w14:textId="77777777">
      <w:pPr>
        <w:pStyle w:val="Default"/>
        <w:numPr>
          <w:ilvl w:val="0"/>
          <w:numId w:val="2"/>
        </w:numPr>
      </w:pPr>
      <w:r w:rsidRPr="009C3243">
        <w:t xml:space="preserve">To review and approve resourcing requests as detailed below to ensure that the organisation is appropriately resourced in terms of capacity and capability, in line with organisational priorities: </w:t>
      </w:r>
    </w:p>
    <w:p w:rsidRPr="009C3243" w:rsidR="00B96697" w:rsidP="00B96697" w:rsidRDefault="00B96697" w14:paraId="39096E94" w14:textId="77777777">
      <w:pPr>
        <w:pStyle w:val="Default"/>
        <w:ind w:left="360"/>
      </w:pPr>
    </w:p>
    <w:p w:rsidRPr="00620C9A" w:rsidR="009C3243" w:rsidP="009C3243" w:rsidRDefault="009C3243" w14:paraId="39E3E973" w14:textId="6529F96D">
      <w:pPr>
        <w:pStyle w:val="Default"/>
        <w:numPr>
          <w:ilvl w:val="0"/>
          <w:numId w:val="5"/>
        </w:numPr>
        <w:rPr>
          <w:color w:val="auto"/>
        </w:rPr>
      </w:pPr>
      <w:r w:rsidRPr="00620C9A">
        <w:rPr>
          <w:color w:val="auto"/>
        </w:rPr>
        <w:t>Recruitment for all new</w:t>
      </w:r>
      <w:r w:rsidRPr="00620C9A" w:rsidR="00B72B96">
        <w:rPr>
          <w:color w:val="auto"/>
        </w:rPr>
        <w:t xml:space="preserve"> </w:t>
      </w:r>
      <w:r w:rsidRPr="00620C9A">
        <w:rPr>
          <w:color w:val="auto"/>
        </w:rPr>
        <w:t xml:space="preserve">posts (Grades 1-8, Clinical grades and Professorial &amp; Senior Administration) permanent and temporary/fixed term duration of </w:t>
      </w:r>
      <w:r w:rsidRPr="00620C9A" w:rsidR="00C91D48">
        <w:rPr>
          <w:color w:val="auto"/>
        </w:rPr>
        <w:t>3</w:t>
      </w:r>
      <w:r w:rsidRPr="00620C9A">
        <w:rPr>
          <w:color w:val="auto"/>
        </w:rPr>
        <w:t xml:space="preserve"> months or longer</w:t>
      </w:r>
      <w:r w:rsidRPr="00620C9A" w:rsidR="00C91D48">
        <w:rPr>
          <w:color w:val="auto"/>
        </w:rPr>
        <w:t xml:space="preserve"> (including those through agencies and paid on invoice)</w:t>
      </w:r>
      <w:r w:rsidRPr="00620C9A">
        <w:rPr>
          <w:color w:val="auto"/>
        </w:rPr>
        <w:t xml:space="preserve">. </w:t>
      </w:r>
      <w:r w:rsidRPr="00620C9A" w:rsidR="00C27ECE">
        <w:rPr>
          <w:color w:val="auto"/>
        </w:rPr>
        <w:t>This include</w:t>
      </w:r>
      <w:r w:rsidRPr="00620C9A" w:rsidR="00AD0886">
        <w:rPr>
          <w:color w:val="auto"/>
        </w:rPr>
        <w:t>s</w:t>
      </w:r>
      <w:r w:rsidRPr="00620C9A" w:rsidR="00C27ECE">
        <w:rPr>
          <w:color w:val="auto"/>
        </w:rPr>
        <w:t xml:space="preserve"> posts agreed as part of the planning round</w:t>
      </w:r>
      <w:r w:rsidRPr="00620C9A" w:rsidR="00AD0886">
        <w:rPr>
          <w:color w:val="auto"/>
        </w:rPr>
        <w:t xml:space="preserve"> but does not include posts that are 100% grant funded.</w:t>
      </w:r>
    </w:p>
    <w:p w:rsidRPr="00620C9A" w:rsidR="00AD0886" w:rsidP="00AD0886" w:rsidRDefault="00AD0886" w14:paraId="6CFA4894" w14:textId="77777777">
      <w:pPr>
        <w:pStyle w:val="Default"/>
        <w:ind w:left="810"/>
        <w:rPr>
          <w:color w:val="auto"/>
        </w:rPr>
      </w:pPr>
    </w:p>
    <w:p w:rsidRPr="00620C9A" w:rsidR="009C3243" w:rsidP="009C3243" w:rsidRDefault="00AD0886" w14:paraId="777FB7C4" w14:textId="5021429B">
      <w:pPr>
        <w:pStyle w:val="Default"/>
        <w:numPr>
          <w:ilvl w:val="0"/>
          <w:numId w:val="5"/>
        </w:numPr>
        <w:rPr>
          <w:color w:val="auto"/>
        </w:rPr>
      </w:pPr>
      <w:r w:rsidRPr="00620C9A">
        <w:rPr>
          <w:color w:val="auto"/>
        </w:rPr>
        <w:t>Recruitment for existing posts on a like for like basis for grades 8 and above (or equivalent).</w:t>
      </w:r>
    </w:p>
    <w:p w:rsidRPr="00620C9A" w:rsidR="00AD0886" w:rsidP="00AD0886" w:rsidRDefault="00AD0886" w14:paraId="3FEFF5CE" w14:textId="77777777">
      <w:pPr>
        <w:pStyle w:val="Default"/>
        <w:rPr>
          <w:color w:val="auto"/>
        </w:rPr>
      </w:pPr>
    </w:p>
    <w:p w:rsidRPr="00620C9A" w:rsidR="009C3243" w:rsidP="009C3243" w:rsidRDefault="009C3243" w14:paraId="79B9D5FB" w14:textId="576DCE8D">
      <w:pPr>
        <w:pStyle w:val="Default"/>
        <w:numPr>
          <w:ilvl w:val="0"/>
          <w:numId w:val="5"/>
        </w:numPr>
        <w:rPr>
          <w:color w:val="auto"/>
        </w:rPr>
      </w:pPr>
      <w:r w:rsidRPr="00620C9A">
        <w:rPr>
          <w:color w:val="auto"/>
        </w:rPr>
        <w:t>Changes to terms for existing post holders including remuneration changes such as pay increases, additional allowances, regrading and hours</w:t>
      </w:r>
      <w:r w:rsidRPr="00620C9A" w:rsidR="00E84482">
        <w:rPr>
          <w:color w:val="auto"/>
        </w:rPr>
        <w:t>’</w:t>
      </w:r>
      <w:r w:rsidRPr="00620C9A">
        <w:rPr>
          <w:color w:val="auto"/>
        </w:rPr>
        <w:t xml:space="preserve"> changes that increase pay (this list is not exhaustive).</w:t>
      </w:r>
      <w:r w:rsidRPr="00620C9A" w:rsidR="00C91D48">
        <w:rPr>
          <w:color w:val="auto"/>
        </w:rPr>
        <w:t xml:space="preserve"> This includes the extension of fixed term contracts</w:t>
      </w:r>
      <w:r w:rsidRPr="00620C9A" w:rsidR="00AD0886">
        <w:rPr>
          <w:color w:val="auto"/>
        </w:rPr>
        <w:t xml:space="preserve"> or appointment to permanency</w:t>
      </w:r>
      <w:r w:rsidRPr="00620C9A" w:rsidR="00C91D48">
        <w:rPr>
          <w:color w:val="auto"/>
        </w:rPr>
        <w:t>.</w:t>
      </w:r>
    </w:p>
    <w:p w:rsidRPr="009C3243" w:rsidR="00AD0886" w:rsidP="00AD0886" w:rsidRDefault="00AD0886" w14:paraId="7E472BF0" w14:textId="77777777">
      <w:pPr>
        <w:pStyle w:val="Default"/>
      </w:pPr>
    </w:p>
    <w:p w:rsidR="009C3243" w:rsidP="009C3243" w:rsidRDefault="009C3243" w14:paraId="69530115" w14:textId="06BC25AB">
      <w:pPr>
        <w:pStyle w:val="Default"/>
        <w:numPr>
          <w:ilvl w:val="0"/>
          <w:numId w:val="5"/>
        </w:numPr>
      </w:pPr>
      <w:r w:rsidRPr="009C3243">
        <w:t>Any restructuring proposals for all grades. Rel</w:t>
      </w:r>
      <w:r w:rsidR="00A37A3E">
        <w:t>evant details should be provided</w:t>
      </w:r>
      <w:r w:rsidRPr="009C3243">
        <w:t xml:space="preserve"> in accordance with the guidance on preparing a </w:t>
      </w:r>
      <w:hyperlink w:history="1" r:id="rId9">
        <w:r w:rsidRPr="009C3243">
          <w:rPr>
            <w:rStyle w:val="Hyperlink"/>
          </w:rPr>
          <w:t>business case for restructuring</w:t>
        </w:r>
      </w:hyperlink>
      <w:r w:rsidRPr="009C3243">
        <w:t>.</w:t>
      </w:r>
    </w:p>
    <w:p w:rsidRPr="009C3243" w:rsidR="00AD0886" w:rsidP="00AD0886" w:rsidRDefault="00AD0886" w14:paraId="7AFDBA07" w14:textId="77777777">
      <w:pPr>
        <w:pStyle w:val="Default"/>
      </w:pPr>
    </w:p>
    <w:p w:rsidR="009C3243" w:rsidP="009C3243" w:rsidRDefault="009C3243" w14:paraId="305D690F" w14:textId="2F978B7F">
      <w:pPr>
        <w:pStyle w:val="Default"/>
        <w:numPr>
          <w:ilvl w:val="0"/>
          <w:numId w:val="5"/>
        </w:numPr>
      </w:pPr>
      <w:r w:rsidRPr="009C3243">
        <w:t xml:space="preserve">Engagement of self-employed workers (eg </w:t>
      </w:r>
      <w:r w:rsidR="00B72B96">
        <w:t>p</w:t>
      </w:r>
      <w:r w:rsidRPr="009C3243">
        <w:t xml:space="preserve">rofessional </w:t>
      </w:r>
      <w:r w:rsidR="00B72B96">
        <w:t>c</w:t>
      </w:r>
      <w:r w:rsidRPr="009C3243">
        <w:t>onsultants through a personal service company or agency) in any circumstances at any level.</w:t>
      </w:r>
    </w:p>
    <w:p w:rsidRPr="009C3243" w:rsidR="00AD0886" w:rsidP="00AD0886" w:rsidRDefault="00AD0886" w14:paraId="63CF4DF1" w14:textId="77777777">
      <w:pPr>
        <w:pStyle w:val="Default"/>
      </w:pPr>
    </w:p>
    <w:p w:rsidR="009C3243" w:rsidP="009C3243" w:rsidRDefault="009C3243" w14:paraId="0A94238B" w14:textId="20E932F0">
      <w:pPr>
        <w:pStyle w:val="Default"/>
        <w:numPr>
          <w:ilvl w:val="0"/>
          <w:numId w:val="5"/>
        </w:numPr>
      </w:pPr>
      <w:r w:rsidRPr="009C3243">
        <w:t xml:space="preserve">Applications for early retirement </w:t>
      </w:r>
      <w:r w:rsidR="00AB38B7">
        <w:t>or voluntary redundancy scheme.</w:t>
      </w:r>
    </w:p>
    <w:p w:rsidR="00AD0886" w:rsidP="00AD0886" w:rsidRDefault="00AD0886" w14:paraId="2D53DCFB" w14:textId="77777777">
      <w:pPr>
        <w:pStyle w:val="Default"/>
      </w:pPr>
    </w:p>
    <w:p w:rsidR="00AB38B7" w:rsidP="009C3243" w:rsidRDefault="00AB38B7" w14:paraId="70243CB9" w14:textId="77777777">
      <w:pPr>
        <w:pStyle w:val="Default"/>
        <w:numPr>
          <w:ilvl w:val="0"/>
          <w:numId w:val="5"/>
        </w:numPr>
      </w:pPr>
      <w:r>
        <w:t>Any post which is either:</w:t>
      </w:r>
    </w:p>
    <w:p w:rsidR="00AB38B7" w:rsidP="00AB38B7" w:rsidRDefault="00AB38B7" w14:paraId="393A6C02" w14:textId="77777777">
      <w:pPr>
        <w:pStyle w:val="Default"/>
        <w:numPr>
          <w:ilvl w:val="1"/>
          <w:numId w:val="5"/>
        </w:numPr>
      </w:pPr>
      <w:r>
        <w:t>a SGUL post partially-funded by a NHS Trust; or</w:t>
      </w:r>
    </w:p>
    <w:p w:rsidRPr="009C3243" w:rsidR="00AB38B7" w:rsidP="00AB38B7" w:rsidRDefault="00AB38B7" w14:paraId="114E6AA9" w14:textId="77777777">
      <w:pPr>
        <w:pStyle w:val="Default"/>
        <w:numPr>
          <w:ilvl w:val="1"/>
          <w:numId w:val="5"/>
        </w:numPr>
      </w:pPr>
      <w:r>
        <w:t>a NHS Trust post for which a number of PAs will be funded by SGUL.</w:t>
      </w:r>
    </w:p>
    <w:p w:rsidR="009C3243" w:rsidP="009C3243" w:rsidRDefault="009C3243" w14:paraId="085E9862" w14:textId="4C196B35">
      <w:pPr>
        <w:pStyle w:val="Default"/>
      </w:pPr>
    </w:p>
    <w:p w:rsidRPr="00620C9A" w:rsidR="00FB6C44" w:rsidP="00FB6C44" w:rsidRDefault="00FB6C44" w14:paraId="58121191" w14:textId="0671ED68">
      <w:pPr>
        <w:pStyle w:val="Default"/>
        <w:ind w:left="360"/>
        <w:rPr>
          <w:color w:val="auto"/>
        </w:rPr>
      </w:pPr>
      <w:r w:rsidRPr="00620C9A">
        <w:rPr>
          <w:color w:val="auto"/>
        </w:rPr>
        <w:t>Any post which has not been advertised within three months of being approved at RRC will need to be re-approved.</w:t>
      </w:r>
    </w:p>
    <w:p w:rsidRPr="009C3243" w:rsidR="00FB6C44" w:rsidP="00FB6C44" w:rsidRDefault="00FB6C44" w14:paraId="291ADBE0" w14:textId="77777777">
      <w:pPr>
        <w:pStyle w:val="Default"/>
        <w:ind w:left="360"/>
      </w:pPr>
    </w:p>
    <w:p w:rsidRPr="009C3243" w:rsidR="009C3243" w:rsidP="009C3243" w:rsidRDefault="009C3243" w14:paraId="3008A9EA" w14:textId="77777777">
      <w:pPr>
        <w:pStyle w:val="Default"/>
        <w:numPr>
          <w:ilvl w:val="0"/>
          <w:numId w:val="2"/>
        </w:numPr>
      </w:pPr>
      <w:r w:rsidRPr="009C3243">
        <w:t xml:space="preserve">To make recommendations to Executive Board/Council regarding the annual pay settlement or wider remuneration changes e.g. pension changes. </w:t>
      </w:r>
    </w:p>
    <w:p w:rsidRPr="009C3243" w:rsidR="009C3243" w:rsidP="009C3243" w:rsidRDefault="009C3243" w14:paraId="576B4654" w14:textId="77777777">
      <w:pPr>
        <w:pStyle w:val="Default"/>
        <w:ind w:left="360"/>
      </w:pPr>
    </w:p>
    <w:p w:rsidRPr="009C3243" w:rsidR="009C3243" w:rsidP="009C3243" w:rsidRDefault="009C3243" w14:paraId="4975F9EE" w14:textId="77777777">
      <w:pPr>
        <w:pStyle w:val="Default"/>
        <w:numPr>
          <w:ilvl w:val="0"/>
          <w:numId w:val="2"/>
        </w:numPr>
      </w:pPr>
      <w:r w:rsidRPr="009C3243">
        <w:lastRenderedPageBreak/>
        <w:t>To receive relevant information relating to payroll costs, workforce profile including key trends for consideration.</w:t>
      </w:r>
    </w:p>
    <w:p w:rsidRPr="009C3243" w:rsidR="009C3243" w:rsidP="009C3243" w:rsidRDefault="009C3243" w14:paraId="4E01EB23" w14:textId="77777777">
      <w:pPr>
        <w:pStyle w:val="ListParagraph"/>
      </w:pPr>
    </w:p>
    <w:p w:rsidR="009C3243" w:rsidP="009C3243" w:rsidRDefault="009C3243" w14:paraId="3AA68916" w14:textId="6C55691A">
      <w:pPr>
        <w:pStyle w:val="Default"/>
      </w:pPr>
      <w:r w:rsidRPr="009C3243">
        <w:t xml:space="preserve">The Committee has authority delegated from the Executive Board to agree proposals set out above. </w:t>
      </w:r>
    </w:p>
    <w:p w:rsidRPr="009C3243" w:rsidR="00891718" w:rsidP="009C3243" w:rsidRDefault="00891718" w14:paraId="23ADFA3E" w14:textId="77777777">
      <w:pPr>
        <w:pStyle w:val="Default"/>
      </w:pPr>
    </w:p>
    <w:p w:rsidRPr="009C3243" w:rsidR="009C3243" w:rsidP="009C3243" w:rsidRDefault="009C3243" w14:paraId="0E1B0BC9" w14:textId="77777777">
      <w:pPr>
        <w:pStyle w:val="Default"/>
      </w:pPr>
      <w:r w:rsidRPr="009C3243">
        <w:rPr>
          <w:b/>
          <w:bCs/>
        </w:rPr>
        <w:t xml:space="preserve">Membership </w:t>
      </w:r>
    </w:p>
    <w:p w:rsidRPr="009C3243" w:rsidR="009C3243" w:rsidP="009C3243" w:rsidRDefault="009C3243" w14:paraId="3E9FD0D2" w14:textId="77777777">
      <w:pPr>
        <w:pStyle w:val="Default"/>
      </w:pPr>
      <w:r w:rsidRPr="009C3243">
        <w:t xml:space="preserve">Principal (Chair) </w:t>
      </w:r>
    </w:p>
    <w:p w:rsidRPr="009C3243" w:rsidR="009C3243" w:rsidP="009C3243" w:rsidRDefault="009C3243" w14:paraId="141AE7FA" w14:textId="77777777">
      <w:pPr>
        <w:pStyle w:val="Default"/>
      </w:pPr>
      <w:r w:rsidRPr="009C3243">
        <w:t xml:space="preserve">Deputy Principals </w:t>
      </w:r>
    </w:p>
    <w:p w:rsidRPr="009C3243" w:rsidR="009C3243" w:rsidP="009C3243" w:rsidRDefault="009C3243" w14:paraId="67421392" w14:textId="77777777">
      <w:pPr>
        <w:pStyle w:val="Default"/>
      </w:pPr>
      <w:r w:rsidRPr="009C3243">
        <w:t xml:space="preserve">Director of Finance </w:t>
      </w:r>
    </w:p>
    <w:p w:rsidRPr="009C3243" w:rsidR="009C3243" w:rsidP="009C3243" w:rsidRDefault="009C3243" w14:paraId="6CF5B941" w14:textId="77777777">
      <w:pPr>
        <w:pStyle w:val="Default"/>
      </w:pPr>
      <w:r w:rsidRPr="009C3243">
        <w:t xml:space="preserve">Chief Operating Officer </w:t>
      </w:r>
    </w:p>
    <w:p w:rsidR="009C3243" w:rsidP="009C3243" w:rsidRDefault="009C3243" w14:paraId="29D0DE10" w14:textId="1652B573">
      <w:pPr>
        <w:pStyle w:val="Default"/>
      </w:pPr>
      <w:r w:rsidRPr="009C3243">
        <w:t>Director of HR</w:t>
      </w:r>
      <w:r w:rsidR="00B96697">
        <w:t>&amp;</w:t>
      </w:r>
      <w:r w:rsidRPr="009C3243">
        <w:t xml:space="preserve">OD </w:t>
      </w:r>
    </w:p>
    <w:p w:rsidRPr="009C3243" w:rsidR="00AD0886" w:rsidP="009C3243" w:rsidRDefault="00AD0886" w14:paraId="7E07B100" w14:textId="77777777">
      <w:pPr>
        <w:pStyle w:val="Default"/>
      </w:pPr>
    </w:p>
    <w:p w:rsidRPr="009C3243" w:rsidR="009C3243" w:rsidP="009C3243" w:rsidRDefault="009C3243" w14:paraId="5AEBABFF" w14:textId="77777777">
      <w:pPr>
        <w:pStyle w:val="Default"/>
      </w:pPr>
      <w:r w:rsidRPr="009C3243">
        <w:rPr>
          <w:b/>
          <w:bCs/>
        </w:rPr>
        <w:t xml:space="preserve">Quorum </w:t>
      </w:r>
    </w:p>
    <w:p w:rsidRPr="009C3243" w:rsidR="009C3243" w:rsidP="009C3243" w:rsidRDefault="009C3243" w14:paraId="1E324D4D" w14:textId="77777777">
      <w:pPr>
        <w:pStyle w:val="Default"/>
      </w:pPr>
      <w:r w:rsidRPr="009C3243">
        <w:t xml:space="preserve">Principal (may elect Deputy Principal to deputise in her absence) </w:t>
      </w:r>
    </w:p>
    <w:p w:rsidRPr="00620C9A" w:rsidR="00AB38B7" w:rsidP="009C3243" w:rsidRDefault="00AB38B7" w14:paraId="0ACC3986" w14:textId="77777777">
      <w:pPr>
        <w:pStyle w:val="Default"/>
        <w:rPr>
          <w:color w:val="auto"/>
        </w:rPr>
      </w:pPr>
      <w:r>
        <w:t>At least one Deputy Principal (in addition to any Deputy Principal deputising for the Principal)</w:t>
      </w:r>
    </w:p>
    <w:p w:rsidRPr="00620C9A" w:rsidR="009C3243" w:rsidP="009C3243" w:rsidRDefault="00AB38B7" w14:paraId="57C78625" w14:textId="77777777">
      <w:pPr>
        <w:pStyle w:val="Default"/>
        <w:rPr>
          <w:color w:val="auto"/>
        </w:rPr>
      </w:pPr>
      <w:r w:rsidRPr="00620C9A">
        <w:rPr>
          <w:color w:val="auto"/>
        </w:rPr>
        <w:t>Chief Operating Officer or Director of Finance</w:t>
      </w:r>
    </w:p>
    <w:p w:rsidRPr="00620C9A" w:rsidR="009C3243" w:rsidP="009C3243" w:rsidRDefault="009C3243" w14:paraId="1C7229B0" w14:textId="77777777">
      <w:pPr>
        <w:pStyle w:val="Default"/>
        <w:rPr>
          <w:color w:val="auto"/>
        </w:rPr>
      </w:pPr>
      <w:r w:rsidRPr="00620C9A">
        <w:rPr>
          <w:color w:val="auto"/>
        </w:rPr>
        <w:t>Director of HR</w:t>
      </w:r>
      <w:r w:rsidRPr="00620C9A" w:rsidR="00B96697">
        <w:rPr>
          <w:color w:val="auto"/>
        </w:rPr>
        <w:t>&amp;</w:t>
      </w:r>
      <w:r w:rsidRPr="00620C9A" w:rsidR="00AB38B7">
        <w:rPr>
          <w:color w:val="auto"/>
        </w:rPr>
        <w:t>OD</w:t>
      </w:r>
      <w:r w:rsidRPr="00620C9A" w:rsidR="00B72B96">
        <w:rPr>
          <w:color w:val="auto"/>
        </w:rPr>
        <w:t xml:space="preserve"> (or designated alternate)</w:t>
      </w:r>
    </w:p>
    <w:p w:rsidRPr="00620C9A" w:rsidR="00AB38B7" w:rsidP="009C3243" w:rsidRDefault="00AB38B7" w14:paraId="62B5FC28" w14:textId="77777777">
      <w:pPr>
        <w:pStyle w:val="Default"/>
        <w:rPr>
          <w:color w:val="auto"/>
        </w:rPr>
      </w:pPr>
    </w:p>
    <w:p w:rsidRPr="00620C9A" w:rsidR="00AB38B7" w:rsidP="00C91D48" w:rsidRDefault="00AB38B7" w14:paraId="7A9785B6" w14:textId="77777777">
      <w:pPr>
        <w:pStyle w:val="Default"/>
        <w:rPr>
          <w:color w:val="auto"/>
        </w:rPr>
      </w:pPr>
      <w:r w:rsidRPr="00620C9A">
        <w:rPr>
          <w:color w:val="auto"/>
        </w:rPr>
        <w:t>A member of the HR</w:t>
      </w:r>
      <w:r w:rsidRPr="00620C9A" w:rsidR="00C91D48">
        <w:rPr>
          <w:color w:val="auto"/>
        </w:rPr>
        <w:t xml:space="preserve"> or Principal’s Office</w:t>
      </w:r>
      <w:r w:rsidRPr="00620C9A">
        <w:rPr>
          <w:color w:val="auto"/>
        </w:rPr>
        <w:t xml:space="preserve"> team will provide administration for the Committee.</w:t>
      </w:r>
    </w:p>
    <w:p w:rsidRPr="00620C9A" w:rsidR="00AD0886" w:rsidRDefault="00AD0886" w14:paraId="21F188A3" w14:textId="409496E6">
      <w:r w:rsidRPr="00620C9A">
        <w:br w:type="page"/>
      </w:r>
    </w:p>
    <w:p w:rsidR="00AD0886" w:rsidP="009C3243" w:rsidRDefault="00AD0886" w14:paraId="4BCC0A41" w14:textId="77777777">
      <w:pPr>
        <w:pStyle w:val="Default"/>
        <w:sectPr w:rsidR="00AD0886" w:rsidSect="009C3243">
          <w:foot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Pr="00620C9A" w:rsidR="00AB38B7" w:rsidP="009C3243" w:rsidRDefault="00B414E4" w14:paraId="1F6DC475" w14:textId="1EEA9098">
      <w:pPr>
        <w:pStyle w:val="Default"/>
        <w:rPr>
          <w:b/>
          <w:color w:val="auto"/>
        </w:rPr>
      </w:pPr>
      <w:r w:rsidRPr="00620C9A">
        <w:rPr>
          <w:b/>
          <w:color w:val="auto"/>
        </w:rPr>
        <w:lastRenderedPageBreak/>
        <w:t>APPENDIX</w:t>
      </w:r>
      <w:bookmarkStart w:name="_GoBack" w:id="0"/>
      <w:bookmarkEnd w:id="0"/>
    </w:p>
    <w:p w:rsidR="00B414E4" w:rsidP="009C3243" w:rsidRDefault="00B414E4" w14:paraId="27B9D809" w14:textId="1FA18951">
      <w:pPr>
        <w:pStyle w:val="Default"/>
      </w:pPr>
    </w:p>
    <w:p w:rsidRPr="009C3243" w:rsidR="00B414E4" w:rsidP="009C3243" w:rsidRDefault="00620C9A" w14:paraId="131DBD2C" w14:textId="466D928C">
      <w:pPr>
        <w:pStyle w:val="Default"/>
      </w:pPr>
      <w:r>
        <w:object w:dxaOrig="9574" w:dyaOrig="5390" w14:anchorId="3029D37D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732pt;height:415.5pt" o:ole="" type="#_x0000_t75">
            <v:imagedata o:title="" r:id="rId12"/>
          </v:shape>
          <o:OLEObject Type="Embed" ProgID="PowerPoint.Show.12" ShapeID="_x0000_i1025" DrawAspect="Content" ObjectID="_1624885146" r:id="rId13"/>
        </w:object>
      </w:r>
    </w:p>
    <w:sectPr w:rsidRPr="009C3243" w:rsidR="00B414E4" w:rsidSect="00AD0886">
      <w:headerReference w:type="first" r:id="rId14"/>
      <w:footerReference w:type="first" r:id="rId15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25D8D" w14:textId="77777777" w:rsidR="009C3243" w:rsidRDefault="009C3243" w:rsidP="009C3243">
      <w:pPr>
        <w:spacing w:after="0" w:line="240" w:lineRule="auto"/>
      </w:pPr>
      <w:r>
        <w:separator/>
      </w:r>
    </w:p>
  </w:endnote>
  <w:endnote w:type="continuationSeparator" w:id="0">
    <w:p w14:paraId="09B4F763" w14:textId="77777777" w:rsidR="009C3243" w:rsidRDefault="009C3243" w:rsidP="009C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9146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D7D01" w14:textId="77777777" w:rsidR="009C3243" w:rsidRDefault="009C32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D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213DBE" w14:textId="77777777" w:rsidR="009C3243" w:rsidRDefault="009C32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019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28B132" w14:textId="6D2D168E" w:rsidR="00B414E4" w:rsidRDefault="00B414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61C7B7" w14:textId="77777777" w:rsidR="00B414E4" w:rsidRDefault="00B41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4ED22" w14:textId="77777777" w:rsidR="009C3243" w:rsidRDefault="009C3243" w:rsidP="009C3243">
      <w:pPr>
        <w:spacing w:after="0" w:line="240" w:lineRule="auto"/>
      </w:pPr>
      <w:r>
        <w:separator/>
      </w:r>
    </w:p>
  </w:footnote>
  <w:footnote w:type="continuationSeparator" w:id="0">
    <w:p w14:paraId="01E2BB9E" w14:textId="77777777" w:rsidR="009C3243" w:rsidRDefault="009C3243" w:rsidP="009C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FA21E" w14:textId="48DD4964" w:rsidR="009C3243" w:rsidRDefault="00B72B96" w:rsidP="009C3243">
    <w:pPr>
      <w:pStyle w:val="Header"/>
      <w:jc w:val="right"/>
    </w:pPr>
    <w:r>
      <w:t>Ju</w:t>
    </w:r>
    <w:r w:rsidR="00891718">
      <w:t>ly</w:t>
    </w:r>
    <w:r>
      <w:t xml:space="preserve">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F8EAB" w14:textId="7D10EB2B" w:rsidR="00B414E4" w:rsidRPr="00B414E4" w:rsidRDefault="00B414E4" w:rsidP="00B41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D5EF1"/>
    <w:multiLevelType w:val="hybridMultilevel"/>
    <w:tmpl w:val="394697C4"/>
    <w:lvl w:ilvl="0" w:tplc="08090013">
      <w:start w:val="1"/>
      <w:numFmt w:val="upperRoman"/>
      <w:lvlText w:val="%1."/>
      <w:lvlJc w:val="righ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70E13"/>
    <w:multiLevelType w:val="hybridMultilevel"/>
    <w:tmpl w:val="2C123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230FF"/>
    <w:multiLevelType w:val="hybridMultilevel"/>
    <w:tmpl w:val="F07EA37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52218E"/>
    <w:multiLevelType w:val="hybridMultilevel"/>
    <w:tmpl w:val="5E00928A"/>
    <w:lvl w:ilvl="0" w:tplc="E0FEEF6A">
      <w:start w:val="9"/>
      <w:numFmt w:val="lowerLetter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E568F"/>
    <w:multiLevelType w:val="hybridMultilevel"/>
    <w:tmpl w:val="FFD63CEA"/>
    <w:lvl w:ilvl="0" w:tplc="0809001B">
      <w:start w:val="1"/>
      <w:numFmt w:val="lowerRoman"/>
      <w:lvlText w:val="%1."/>
      <w:lvlJc w:val="right"/>
      <w:pPr>
        <w:ind w:left="810" w:hanging="45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43"/>
    <w:rsid w:val="000F1657"/>
    <w:rsid w:val="003A223F"/>
    <w:rsid w:val="00620C9A"/>
    <w:rsid w:val="00891718"/>
    <w:rsid w:val="009C3243"/>
    <w:rsid w:val="00A37A3E"/>
    <w:rsid w:val="00A94EFC"/>
    <w:rsid w:val="00AB38B7"/>
    <w:rsid w:val="00AD0886"/>
    <w:rsid w:val="00B414E4"/>
    <w:rsid w:val="00B72B96"/>
    <w:rsid w:val="00B96697"/>
    <w:rsid w:val="00BE7C27"/>
    <w:rsid w:val="00C27ECE"/>
    <w:rsid w:val="00C91D48"/>
    <w:rsid w:val="00E84482"/>
    <w:rsid w:val="00F41A18"/>
    <w:rsid w:val="00FB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9134BE"/>
  <w15:chartTrackingRefBased/>
  <w15:docId w15:val="{84A1C372-79D5-4A59-9BB1-D3F953B0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324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9C32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324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C32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243"/>
  </w:style>
  <w:style w:type="paragraph" w:styleId="Footer">
    <w:name w:val="footer"/>
    <w:basedOn w:val="Normal"/>
    <w:link w:val="FooterChar"/>
    <w:uiPriority w:val="99"/>
    <w:unhideWhenUsed/>
    <w:rsid w:val="009C3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243"/>
  </w:style>
  <w:style w:type="paragraph" w:styleId="BalloonText">
    <w:name w:val="Balloon Text"/>
    <w:basedOn w:val="Normal"/>
    <w:link w:val="BalloonTextChar"/>
    <w:uiPriority w:val="99"/>
    <w:semiHidden/>
    <w:unhideWhenUsed/>
    <w:rsid w:val="00E8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2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2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2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2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PowerPoint_Presentation.ppt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rtal.sgul.ac.uk/org/cs/h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874EE-C27F-4072-85ED-80761DAC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RRC Terms of Reference 2019-20</dc:title>
  <dc:subject>
  </dc:subject>
  <dc:creator>Jenny Winters</dc:creator>
  <cp:keywords>
  </cp:keywords>
  <dc:description>
  </dc:description>
  <cp:lastModifiedBy>Sebastian</cp:lastModifiedBy>
  <cp:revision>5</cp:revision>
  <dcterms:created xsi:type="dcterms:W3CDTF">2019-07-03T14:16:00Z</dcterms:created>
  <dcterms:modified xsi:type="dcterms:W3CDTF">2019-08-29T09:58:00Z</dcterms:modified>
</cp:coreProperties>
</file>