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F115B" w:rsidR="00C1428D" w:rsidP="009F115B" w:rsidRDefault="00C47CCF" w14:paraId="11929D7E" w14:textId="62ADE4C3">
      <w:pPr>
        <w:pStyle w:val="Heading1-nospaceafter"/>
        <w:spacing w:line="360" w:lineRule="auto"/>
        <w:rPr>
          <w:rFonts w:ascii="Times New Roman" w:hAnsi="Times New Roman"/>
          <w:b/>
          <w:color w:val="auto"/>
          <w:sz w:val="24"/>
          <w:szCs w:val="24"/>
        </w:rPr>
      </w:pPr>
      <w:proofErr w:type="spellStart"/>
      <w:r>
        <w:rPr>
          <w:rFonts w:ascii="Times New Roman" w:hAnsi="Times New Roman"/>
          <w:b/>
          <w:color w:val="auto"/>
          <w:sz w:val="24"/>
          <w:szCs w:val="24"/>
        </w:rPr>
        <w:t>EduFocus</w:t>
      </w:r>
      <w:proofErr w:type="spellEnd"/>
      <w:r>
        <w:rPr>
          <w:rFonts w:ascii="Times New Roman" w:hAnsi="Times New Roman"/>
          <w:b/>
          <w:color w:val="auto"/>
          <w:sz w:val="24"/>
          <w:szCs w:val="24"/>
        </w:rPr>
        <w:t xml:space="preserve"> -</w:t>
      </w:r>
      <w:r w:rsidRPr="009F115B" w:rsidR="0079776B">
        <w:rPr>
          <w:rFonts w:ascii="Times New Roman" w:hAnsi="Times New Roman"/>
          <w:b/>
          <w:color w:val="auto"/>
          <w:sz w:val="24"/>
          <w:szCs w:val="24"/>
        </w:rPr>
        <w:t>Continuing</w:t>
      </w:r>
      <w:r w:rsidR="0079776B">
        <w:rPr>
          <w:rFonts w:ascii="Times New Roman" w:hAnsi="Times New Roman"/>
          <w:b/>
          <w:color w:val="auto"/>
          <w:sz w:val="24"/>
          <w:szCs w:val="24"/>
        </w:rPr>
        <w:t xml:space="preserve"> </w:t>
      </w:r>
      <w:r w:rsidR="00127600">
        <w:rPr>
          <w:rFonts w:ascii="Times New Roman" w:hAnsi="Times New Roman"/>
          <w:b/>
          <w:color w:val="auto"/>
          <w:sz w:val="24"/>
          <w:szCs w:val="24"/>
        </w:rPr>
        <w:t>Educational Development</w:t>
      </w:r>
      <w:r w:rsidRPr="009F115B" w:rsidR="00127600">
        <w:rPr>
          <w:rFonts w:ascii="Times New Roman" w:hAnsi="Times New Roman"/>
          <w:b/>
          <w:color w:val="auto"/>
          <w:sz w:val="24"/>
          <w:szCs w:val="24"/>
        </w:rPr>
        <w:t xml:space="preserve"> </w:t>
      </w:r>
      <w:r w:rsidR="00127600">
        <w:rPr>
          <w:rFonts w:ascii="Times New Roman" w:hAnsi="Times New Roman"/>
          <w:b/>
          <w:color w:val="auto"/>
          <w:sz w:val="24"/>
          <w:szCs w:val="24"/>
        </w:rPr>
        <w:t xml:space="preserve">(CED) </w:t>
      </w:r>
      <w:r w:rsidRPr="009F115B" w:rsidR="00C1428D">
        <w:rPr>
          <w:rFonts w:ascii="Times New Roman" w:hAnsi="Times New Roman"/>
          <w:b/>
          <w:color w:val="auto"/>
          <w:sz w:val="24"/>
          <w:szCs w:val="24"/>
        </w:rPr>
        <w:t>Session Template</w:t>
      </w:r>
    </w:p>
    <w:p w:rsidR="009F115B" w:rsidP="009F115B" w:rsidRDefault="00C1428D" w14:paraId="40B099C1" w14:textId="77777777">
      <w:pPr>
        <w:spacing w:line="360" w:lineRule="auto"/>
        <w:rPr>
          <w:rFonts w:ascii="Times New Roman" w:hAnsi="Times New Roman" w:cs="Times New Roman"/>
          <w:sz w:val="24"/>
          <w:szCs w:val="24"/>
        </w:rPr>
      </w:pPr>
      <w:r w:rsidRPr="009F115B">
        <w:rPr>
          <w:rFonts w:ascii="Times New Roman" w:hAnsi="Times New Roman" w:cs="Times New Roman"/>
          <w:sz w:val="24"/>
          <w:szCs w:val="24"/>
        </w:rPr>
        <w:t>Centre for Innovation and Development in Education (CIDE)</w:t>
      </w:r>
      <w:r w:rsidR="009F115B">
        <w:rPr>
          <w:rFonts w:ascii="Times New Roman" w:hAnsi="Times New Roman" w:cs="Times New Roman"/>
          <w:sz w:val="24"/>
          <w:szCs w:val="24"/>
        </w:rPr>
        <w:t xml:space="preserve"> </w:t>
      </w:r>
    </w:p>
    <w:tbl>
      <w:tblPr>
        <w:tblStyle w:val="Kingstablestyle1"/>
        <w:tblW w:w="9498" w:type="dxa"/>
        <w:tblInd w:w="-294" w:type="dxa"/>
        <w:tblLook w:val="04A0" w:firstRow="1" w:lastRow="0" w:firstColumn="1" w:lastColumn="0" w:noHBand="0" w:noVBand="1"/>
      </w:tblPr>
      <w:tblGrid>
        <w:gridCol w:w="2668"/>
        <w:gridCol w:w="69"/>
        <w:gridCol w:w="6761"/>
      </w:tblGrid>
      <w:tr w:rsidRPr="00FE424E" w:rsidR="00C1428D" w:rsidTr="002963F7" w14:paraId="7E953BAE" w14:textId="77777777">
        <w:trPr>
          <w:cnfStyle w:val="100000000000" w:firstRow="1" w:lastRow="0" w:firstColumn="0" w:lastColumn="0" w:oddVBand="0" w:evenVBand="0" w:oddHBand="0" w:evenHBand="0" w:firstRowFirstColumn="0" w:firstRowLastColumn="0" w:lastRowFirstColumn="0" w:lastRowLastColumn="0"/>
        </w:trPr>
        <w:tc>
          <w:tcPr>
            <w:tcW w:w="9498" w:type="dxa"/>
            <w:gridSpan w:val="3"/>
            <w:shd w:val="clear" w:color="auto" w:fill="00B0F0"/>
          </w:tcPr>
          <w:p w:rsidRPr="00C47CCF" w:rsidR="00C1428D" w:rsidP="00C1428D" w:rsidRDefault="00C1428D" w14:paraId="739B343E" w14:textId="77777777">
            <w:pPr>
              <w:pStyle w:val="Tablehead-white"/>
              <w:numPr>
                <w:ilvl w:val="0"/>
                <w:numId w:val="1"/>
              </w:numPr>
              <w:rPr>
                <w:rFonts w:ascii="Times New Roman" w:hAnsi="Times New Roman"/>
                <w:b/>
                <w:sz w:val="22"/>
                <w:szCs w:val="22"/>
              </w:rPr>
            </w:pPr>
            <w:r w:rsidRPr="00FE424E">
              <w:rPr>
                <w:rFonts w:ascii="Times New Roman" w:hAnsi="Times New Roman"/>
                <w:b/>
                <w:color w:val="auto"/>
                <w:sz w:val="22"/>
                <w:szCs w:val="22"/>
              </w:rPr>
              <w:t>Generic information</w:t>
            </w:r>
          </w:p>
          <w:p w:rsidRPr="00FE424E" w:rsidR="00C47CCF" w:rsidP="00C47CCF" w:rsidRDefault="00C47CCF" w14:paraId="520756AE" w14:textId="77777777">
            <w:pPr>
              <w:pStyle w:val="Tablehead-white"/>
              <w:rPr>
                <w:rFonts w:ascii="Times New Roman" w:hAnsi="Times New Roman"/>
                <w:b/>
                <w:sz w:val="22"/>
                <w:szCs w:val="22"/>
              </w:rPr>
            </w:pPr>
          </w:p>
        </w:tc>
      </w:tr>
      <w:tr w:rsidRPr="00F513BE" w:rsidR="00C1428D" w:rsidTr="002963F7" w14:paraId="4C9DC7DE" w14:textId="77777777">
        <w:tc>
          <w:tcPr>
            <w:tcW w:w="2737" w:type="dxa"/>
            <w:gridSpan w:val="2"/>
            <w:shd w:val="clear" w:color="auto" w:fill="D9D9D9" w:themeFill="background1" w:themeFillShade="D9"/>
          </w:tcPr>
          <w:p w:rsidRPr="00FE424E" w:rsidR="00C1428D" w:rsidP="002963F7" w:rsidRDefault="00C1428D" w14:paraId="3E1F86AF" w14:textId="77777777">
            <w:pPr>
              <w:pStyle w:val="Tabletext"/>
              <w:rPr>
                <w:rFonts w:ascii="Times New Roman" w:hAnsi="Times New Roman"/>
                <w:b/>
                <w:sz w:val="22"/>
                <w:szCs w:val="22"/>
              </w:rPr>
            </w:pPr>
            <w:r w:rsidRPr="00FE424E">
              <w:rPr>
                <w:rFonts w:ascii="Times New Roman" w:hAnsi="Times New Roman"/>
                <w:b/>
                <w:sz w:val="22"/>
                <w:szCs w:val="22"/>
              </w:rPr>
              <w:t>Title of the session:</w:t>
            </w:r>
          </w:p>
        </w:tc>
        <w:tc>
          <w:tcPr>
            <w:tcW w:w="6761" w:type="dxa"/>
            <w:shd w:val="clear" w:color="auto" w:fill="D9D9D9" w:themeFill="background1" w:themeFillShade="D9"/>
          </w:tcPr>
          <w:p w:rsidRPr="00147C6A" w:rsidR="00C1428D" w:rsidP="00C03B95" w:rsidRDefault="00C03B95" w14:paraId="5A7EC6CF" w14:textId="282B2B52">
            <w:pPr>
              <w:spacing w:line="240" w:lineRule="auto"/>
              <w:rPr>
                <w:rFonts w:ascii="Arial" w:hAnsi="Arial" w:cs="Arial"/>
                <w:b/>
                <w:i/>
                <w:iCs/>
                <w:sz w:val="22"/>
                <w:szCs w:val="22"/>
              </w:rPr>
            </w:pPr>
            <w:r w:rsidRPr="00147C6A">
              <w:rPr>
                <w:rFonts w:ascii="Arial" w:hAnsi="Arial" w:cs="Arial"/>
                <w:b/>
                <w:i/>
                <w:iCs/>
                <w:sz w:val="22"/>
                <w:szCs w:val="22"/>
              </w:rPr>
              <w:t xml:space="preserve">Identity, </w:t>
            </w:r>
            <w:r w:rsidRPr="00147C6A" w:rsidR="00FD1880">
              <w:rPr>
                <w:rFonts w:ascii="Arial" w:hAnsi="Arial" w:cs="Arial"/>
                <w:b/>
                <w:i/>
                <w:iCs/>
                <w:sz w:val="22"/>
                <w:szCs w:val="22"/>
              </w:rPr>
              <w:t>e</w:t>
            </w:r>
            <w:r w:rsidRPr="00147C6A">
              <w:rPr>
                <w:rFonts w:ascii="Arial" w:hAnsi="Arial" w:cs="Arial"/>
                <w:b/>
                <w:i/>
                <w:iCs/>
                <w:sz w:val="22"/>
                <w:szCs w:val="22"/>
              </w:rPr>
              <w:t xml:space="preserve">xperience and </w:t>
            </w:r>
            <w:r w:rsidRPr="00147C6A" w:rsidR="00FD1880">
              <w:rPr>
                <w:rFonts w:ascii="Arial" w:hAnsi="Arial" w:cs="Arial"/>
                <w:b/>
                <w:i/>
                <w:iCs/>
                <w:sz w:val="22"/>
                <w:szCs w:val="22"/>
              </w:rPr>
              <w:t>P</w:t>
            </w:r>
            <w:r w:rsidRPr="00147C6A">
              <w:rPr>
                <w:rFonts w:ascii="Arial" w:hAnsi="Arial" w:cs="Arial"/>
                <w:b/>
                <w:i/>
                <w:iCs/>
                <w:sz w:val="22"/>
                <w:szCs w:val="22"/>
              </w:rPr>
              <w:t xml:space="preserve">ractice as a </w:t>
            </w:r>
            <w:r w:rsidRPr="00147C6A" w:rsidR="00FD1880">
              <w:rPr>
                <w:rFonts w:ascii="Arial" w:hAnsi="Arial" w:cs="Arial"/>
                <w:b/>
                <w:i/>
                <w:iCs/>
                <w:sz w:val="22"/>
                <w:szCs w:val="22"/>
              </w:rPr>
              <w:t>T</w:t>
            </w:r>
            <w:r w:rsidRPr="00147C6A">
              <w:rPr>
                <w:rFonts w:ascii="Arial" w:hAnsi="Arial" w:cs="Arial"/>
                <w:b/>
                <w:i/>
                <w:iCs/>
                <w:sz w:val="22"/>
                <w:szCs w:val="22"/>
              </w:rPr>
              <w:t xml:space="preserve">ransformational </w:t>
            </w:r>
            <w:r w:rsidRPr="00147C6A" w:rsidR="00FD1880">
              <w:rPr>
                <w:rFonts w:ascii="Arial" w:hAnsi="Arial" w:cs="Arial"/>
                <w:b/>
                <w:i/>
                <w:iCs/>
                <w:sz w:val="22"/>
                <w:szCs w:val="22"/>
              </w:rPr>
              <w:t>E</w:t>
            </w:r>
            <w:r w:rsidRPr="00147C6A">
              <w:rPr>
                <w:rFonts w:ascii="Arial" w:hAnsi="Arial" w:cs="Arial"/>
                <w:b/>
                <w:i/>
                <w:iCs/>
                <w:sz w:val="22"/>
                <w:szCs w:val="22"/>
              </w:rPr>
              <w:t xml:space="preserve">ducational </w:t>
            </w:r>
            <w:r w:rsidRPr="00147C6A" w:rsidR="00FD1880">
              <w:rPr>
                <w:rFonts w:ascii="Arial" w:hAnsi="Arial" w:cs="Arial"/>
                <w:b/>
                <w:i/>
                <w:iCs/>
                <w:sz w:val="22"/>
                <w:szCs w:val="22"/>
              </w:rPr>
              <w:t>R</w:t>
            </w:r>
            <w:r w:rsidRPr="00147C6A">
              <w:rPr>
                <w:rFonts w:ascii="Arial" w:hAnsi="Arial" w:cs="Arial"/>
                <w:b/>
                <w:i/>
                <w:iCs/>
                <w:sz w:val="22"/>
                <w:szCs w:val="22"/>
              </w:rPr>
              <w:t>esource</w:t>
            </w:r>
          </w:p>
        </w:tc>
      </w:tr>
      <w:tr w:rsidRPr="00FE424E" w:rsidR="00C1428D" w:rsidTr="002963F7" w14:paraId="1DB4CD9C" w14:textId="77777777">
        <w:trPr>
          <w:trHeight w:val="907"/>
        </w:trPr>
        <w:tc>
          <w:tcPr>
            <w:tcW w:w="2737" w:type="dxa"/>
            <w:gridSpan w:val="2"/>
            <w:shd w:val="clear" w:color="auto" w:fill="D9D9D9" w:themeFill="background1" w:themeFillShade="D9"/>
          </w:tcPr>
          <w:p w:rsidRPr="00FE424E" w:rsidR="00C1428D" w:rsidP="002963F7" w:rsidRDefault="00C1428D" w14:paraId="5C09733A" w14:textId="77777777">
            <w:pPr>
              <w:pStyle w:val="Tabletext"/>
              <w:rPr>
                <w:rFonts w:ascii="Times New Roman" w:hAnsi="Times New Roman"/>
                <w:b/>
                <w:sz w:val="22"/>
                <w:szCs w:val="22"/>
              </w:rPr>
            </w:pPr>
            <w:r w:rsidRPr="00FE424E">
              <w:rPr>
                <w:rFonts w:ascii="Times New Roman" w:hAnsi="Times New Roman"/>
                <w:b/>
                <w:sz w:val="22"/>
                <w:szCs w:val="22"/>
              </w:rPr>
              <w:t>Name and email of the facilitator:</w:t>
            </w:r>
          </w:p>
        </w:tc>
        <w:tc>
          <w:tcPr>
            <w:tcW w:w="6761" w:type="dxa"/>
          </w:tcPr>
          <w:p w:rsidRPr="00147C6A" w:rsidR="00B71050" w:rsidP="002963F7" w:rsidRDefault="00C03B95" w14:paraId="1144F698" w14:textId="3A124245">
            <w:pPr>
              <w:pStyle w:val="Tabletext"/>
              <w:rPr>
                <w:rFonts w:ascii="Arial" w:hAnsi="Arial" w:cs="Arial"/>
                <w:sz w:val="22"/>
                <w:szCs w:val="22"/>
              </w:rPr>
            </w:pPr>
            <w:r w:rsidRPr="00147C6A">
              <w:rPr>
                <w:rFonts w:ascii="Arial" w:hAnsi="Arial" w:cs="Arial"/>
                <w:sz w:val="22"/>
                <w:szCs w:val="22"/>
              </w:rPr>
              <w:t>Professor Jane Saffell, jsaffell@sgul.ac.uk</w:t>
            </w:r>
          </w:p>
        </w:tc>
      </w:tr>
      <w:tr w:rsidRPr="00FE424E" w:rsidR="00C1428D" w:rsidTr="002963F7" w14:paraId="6EA35B9B" w14:textId="77777777">
        <w:trPr>
          <w:trHeight w:val="1158"/>
        </w:trPr>
        <w:tc>
          <w:tcPr>
            <w:tcW w:w="2737" w:type="dxa"/>
            <w:gridSpan w:val="2"/>
            <w:shd w:val="clear" w:color="auto" w:fill="D9D9D9" w:themeFill="background1" w:themeFillShade="D9"/>
          </w:tcPr>
          <w:p w:rsidR="00C1428D" w:rsidP="002963F7" w:rsidRDefault="00C1428D" w14:paraId="4707BAEB" w14:textId="77777777">
            <w:pPr>
              <w:pStyle w:val="Tabletext"/>
              <w:rPr>
                <w:rFonts w:ascii="Times New Roman" w:hAnsi="Times New Roman"/>
                <w:sz w:val="22"/>
                <w:szCs w:val="22"/>
              </w:rPr>
            </w:pPr>
            <w:r w:rsidRPr="00FE424E">
              <w:rPr>
                <w:rFonts w:ascii="Times New Roman" w:hAnsi="Times New Roman"/>
                <w:b/>
                <w:sz w:val="22"/>
                <w:szCs w:val="22"/>
              </w:rPr>
              <w:t>Target audience:</w:t>
            </w:r>
            <w:r w:rsidRPr="00FE424E">
              <w:rPr>
                <w:rFonts w:ascii="Times New Roman" w:hAnsi="Times New Roman"/>
                <w:sz w:val="22"/>
                <w:szCs w:val="22"/>
              </w:rPr>
              <w:t xml:space="preserve"> </w:t>
            </w:r>
          </w:p>
          <w:p w:rsidRPr="00FE424E" w:rsidR="00C47CCF" w:rsidP="002963F7" w:rsidRDefault="00C47CCF" w14:paraId="2761F25A" w14:textId="77777777">
            <w:pPr>
              <w:pStyle w:val="Tabletext"/>
              <w:rPr>
                <w:rFonts w:ascii="Times New Roman" w:hAnsi="Times New Roman"/>
                <w:sz w:val="22"/>
                <w:szCs w:val="22"/>
              </w:rPr>
            </w:pPr>
          </w:p>
          <w:p w:rsidRPr="00FE424E" w:rsidR="00C1428D" w:rsidP="002963F7" w:rsidRDefault="00C1428D" w14:paraId="0E9AA922" w14:textId="77777777">
            <w:pPr>
              <w:pStyle w:val="Tabletext"/>
              <w:rPr>
                <w:rFonts w:ascii="Times New Roman" w:hAnsi="Times New Roman"/>
                <w:b/>
                <w:sz w:val="22"/>
                <w:szCs w:val="22"/>
              </w:rPr>
            </w:pPr>
            <w:r w:rsidRPr="00FE424E">
              <w:rPr>
                <w:rFonts w:ascii="Times New Roman" w:hAnsi="Times New Roman"/>
                <w:color w:val="000000" w:themeColor="text1"/>
                <w:sz w:val="22"/>
                <w:szCs w:val="22"/>
              </w:rPr>
              <w:t xml:space="preserve">for example, </w:t>
            </w:r>
            <w:r>
              <w:rPr>
                <w:rFonts w:ascii="Times New Roman" w:hAnsi="Times New Roman"/>
                <w:color w:val="000000" w:themeColor="text1"/>
                <w:sz w:val="22"/>
                <w:szCs w:val="22"/>
              </w:rPr>
              <w:t xml:space="preserve">teaching staff, </w:t>
            </w:r>
            <w:r w:rsidRPr="00FE424E">
              <w:rPr>
                <w:rFonts w:ascii="Times New Roman" w:hAnsi="Times New Roman"/>
                <w:color w:val="000000" w:themeColor="text1"/>
                <w:sz w:val="22"/>
                <w:szCs w:val="22"/>
              </w:rPr>
              <w:t xml:space="preserve">librarians, administrators, managers - </w:t>
            </w:r>
            <w:r w:rsidRPr="00FE424E">
              <w:rPr>
                <w:rFonts w:ascii="Times New Roman" w:hAnsi="Times New Roman"/>
                <w:sz w:val="22"/>
                <w:szCs w:val="22"/>
              </w:rPr>
              <w:t>and doctoral and postdoctoral students – or a mixture</w:t>
            </w:r>
          </w:p>
        </w:tc>
        <w:tc>
          <w:tcPr>
            <w:tcW w:w="6761" w:type="dxa"/>
          </w:tcPr>
          <w:p w:rsidRPr="00147C6A" w:rsidR="00C1428D" w:rsidP="00147C6A" w:rsidRDefault="00C03B95" w14:paraId="61A0BDEF" w14:textId="698BFD17">
            <w:pPr>
              <w:rPr>
                <w:rFonts w:ascii="Arial" w:hAnsi="Arial" w:cs="Arial"/>
                <w:sz w:val="22"/>
                <w:szCs w:val="22"/>
              </w:rPr>
            </w:pPr>
            <w:r w:rsidRPr="00147C6A">
              <w:rPr>
                <w:rFonts w:ascii="Arial" w:hAnsi="Arial" w:cs="Arial"/>
                <w:sz w:val="22"/>
                <w:szCs w:val="22"/>
              </w:rPr>
              <w:t>The practice shared in this session is academic teaching</w:t>
            </w:r>
            <w:r w:rsidR="00147C6A">
              <w:rPr>
                <w:rFonts w:ascii="Arial" w:hAnsi="Arial" w:cs="Arial"/>
                <w:sz w:val="22"/>
                <w:szCs w:val="22"/>
              </w:rPr>
              <w:t xml:space="preserve"> and learning</w:t>
            </w:r>
            <w:r w:rsidRPr="00147C6A">
              <w:rPr>
                <w:rFonts w:ascii="Arial" w:hAnsi="Arial" w:cs="Arial"/>
                <w:sz w:val="22"/>
                <w:szCs w:val="22"/>
              </w:rPr>
              <w:t>-focused</w:t>
            </w:r>
            <w:r w:rsidR="00147C6A">
              <w:rPr>
                <w:rFonts w:ascii="Arial" w:hAnsi="Arial" w:cs="Arial"/>
                <w:sz w:val="22"/>
                <w:szCs w:val="22"/>
              </w:rPr>
              <w:t>.  It</w:t>
            </w:r>
            <w:r w:rsidRPr="00147C6A">
              <w:rPr>
                <w:rFonts w:ascii="Arial" w:hAnsi="Arial" w:cs="Arial"/>
                <w:sz w:val="22"/>
                <w:szCs w:val="22"/>
              </w:rPr>
              <w:t xml:space="preserve"> would probably be of most interest to teaching staff and those involved with assisting teaching, including doctoral students and postdoctoral staff.  However, the principles apply to all staff insofar as teaching is woven into how we prepare teams and share expertise with one another.  </w:t>
            </w:r>
          </w:p>
        </w:tc>
      </w:tr>
      <w:tr w:rsidRPr="00FE424E" w:rsidR="00C1428D" w:rsidTr="002963F7" w14:paraId="318B640D" w14:textId="77777777">
        <w:trPr>
          <w:trHeight w:val="240"/>
        </w:trPr>
        <w:tc>
          <w:tcPr>
            <w:tcW w:w="9498" w:type="dxa"/>
            <w:gridSpan w:val="3"/>
            <w:shd w:val="clear" w:color="auto" w:fill="00B0F0"/>
          </w:tcPr>
          <w:p w:rsidR="00C1428D" w:rsidP="00C47CCF" w:rsidRDefault="00C1428D" w14:paraId="24302EA7" w14:textId="677A8785">
            <w:pPr>
              <w:pStyle w:val="Tablehead-white"/>
              <w:numPr>
                <w:ilvl w:val="0"/>
                <w:numId w:val="1"/>
              </w:numPr>
              <w:rPr>
                <w:rFonts w:ascii="Times New Roman" w:hAnsi="Times New Roman"/>
                <w:b/>
                <w:color w:val="auto"/>
                <w:sz w:val="22"/>
                <w:szCs w:val="22"/>
              </w:rPr>
            </w:pPr>
            <w:r w:rsidRPr="00FE424E">
              <w:rPr>
                <w:rFonts w:ascii="Times New Roman" w:hAnsi="Times New Roman"/>
                <w:b/>
                <w:color w:val="auto"/>
                <w:sz w:val="22"/>
                <w:szCs w:val="22"/>
              </w:rPr>
              <w:t>Session details</w:t>
            </w:r>
          </w:p>
          <w:p w:rsidRPr="00FE424E" w:rsidR="00C47CCF" w:rsidP="00C47CCF" w:rsidRDefault="00C47CCF" w14:paraId="0BFE3030" w14:textId="77777777">
            <w:pPr>
              <w:pStyle w:val="Tablehead-white"/>
              <w:ind w:left="720"/>
              <w:rPr>
                <w:rFonts w:ascii="Times New Roman" w:hAnsi="Times New Roman"/>
                <w:b/>
                <w:sz w:val="22"/>
                <w:szCs w:val="22"/>
              </w:rPr>
            </w:pPr>
          </w:p>
        </w:tc>
      </w:tr>
      <w:tr w:rsidRPr="00FE424E" w:rsidR="00C1428D" w:rsidTr="0079776B" w14:paraId="5EBE21AA" w14:textId="77777777">
        <w:trPr>
          <w:trHeight w:val="2596"/>
        </w:trPr>
        <w:tc>
          <w:tcPr>
            <w:tcW w:w="2668" w:type="dxa"/>
            <w:shd w:val="clear" w:color="auto" w:fill="D9D9D9" w:themeFill="background1" w:themeFillShade="D9"/>
          </w:tcPr>
          <w:p w:rsidR="00C1428D" w:rsidP="002963F7" w:rsidRDefault="00C1428D" w14:paraId="4B8A0C8E" w14:textId="00329B36">
            <w:pPr>
              <w:pStyle w:val="Tabletext"/>
              <w:rPr>
                <w:rFonts w:ascii="Times New Roman" w:hAnsi="Times New Roman"/>
                <w:b/>
                <w:sz w:val="22"/>
                <w:szCs w:val="22"/>
              </w:rPr>
            </w:pPr>
            <w:r w:rsidRPr="00FE424E">
              <w:rPr>
                <w:rFonts w:ascii="Times New Roman" w:hAnsi="Times New Roman"/>
                <w:b/>
                <w:sz w:val="22"/>
                <w:szCs w:val="22"/>
              </w:rPr>
              <w:t>What is this C</w:t>
            </w:r>
            <w:r w:rsidR="00FC66F5">
              <w:rPr>
                <w:rFonts w:ascii="Times New Roman" w:hAnsi="Times New Roman"/>
                <w:b/>
                <w:sz w:val="22"/>
                <w:szCs w:val="22"/>
              </w:rPr>
              <w:t>E</w:t>
            </w:r>
            <w:r w:rsidRPr="00FE424E">
              <w:rPr>
                <w:rFonts w:ascii="Times New Roman" w:hAnsi="Times New Roman"/>
                <w:b/>
                <w:sz w:val="22"/>
                <w:szCs w:val="22"/>
              </w:rPr>
              <w:t xml:space="preserve">D session about? </w:t>
            </w:r>
          </w:p>
          <w:p w:rsidR="00C47CCF" w:rsidP="002963F7" w:rsidRDefault="00C47CCF" w14:paraId="2E457582" w14:textId="77777777">
            <w:pPr>
              <w:pStyle w:val="Tabletext"/>
              <w:rPr>
                <w:rFonts w:ascii="Times New Roman" w:hAnsi="Times New Roman"/>
                <w:b/>
                <w:sz w:val="22"/>
                <w:szCs w:val="22"/>
              </w:rPr>
            </w:pPr>
          </w:p>
          <w:p w:rsidR="00C47CCF" w:rsidP="002963F7" w:rsidRDefault="00C47CCF" w14:paraId="39B9C907" w14:textId="77777777">
            <w:pPr>
              <w:pStyle w:val="Tabletext"/>
              <w:rPr>
                <w:rFonts w:ascii="Times New Roman" w:hAnsi="Times New Roman"/>
                <w:b/>
                <w:sz w:val="22"/>
                <w:szCs w:val="22"/>
              </w:rPr>
            </w:pPr>
          </w:p>
          <w:p w:rsidRPr="00FE424E" w:rsidR="00C1428D" w:rsidP="002963F7" w:rsidRDefault="00C1428D" w14:paraId="0A108885" w14:textId="77777777">
            <w:pPr>
              <w:pStyle w:val="Tabletext"/>
              <w:rPr>
                <w:rFonts w:ascii="Times New Roman" w:hAnsi="Times New Roman"/>
                <w:b/>
                <w:sz w:val="22"/>
                <w:szCs w:val="22"/>
              </w:rPr>
            </w:pPr>
            <w:r w:rsidRPr="00FE424E">
              <w:rPr>
                <w:rFonts w:ascii="Times New Roman" w:hAnsi="Times New Roman"/>
                <w:sz w:val="22"/>
                <w:szCs w:val="22"/>
              </w:rPr>
              <w:t>Main focus of the session</w:t>
            </w:r>
          </w:p>
        </w:tc>
        <w:tc>
          <w:tcPr>
            <w:tcW w:w="6830" w:type="dxa"/>
            <w:gridSpan w:val="2"/>
          </w:tcPr>
          <w:p w:rsidR="00147C6A" w:rsidP="00C03B95" w:rsidRDefault="00C03B95" w14:paraId="76423D2F" w14:textId="77777777">
            <w:pPr>
              <w:rPr>
                <w:rFonts w:ascii="Arial" w:hAnsi="Arial" w:cs="Arial"/>
                <w:bCs/>
                <w:color w:val="000000"/>
                <w:sz w:val="22"/>
                <w:szCs w:val="22"/>
              </w:rPr>
            </w:pPr>
            <w:r w:rsidRPr="00147C6A">
              <w:rPr>
                <w:rStyle w:val="A0"/>
                <w:rFonts w:ascii="Arial" w:hAnsi="Arial" w:cs="Arial"/>
                <w:sz w:val="22"/>
                <w:szCs w:val="22"/>
              </w:rPr>
              <w:t xml:space="preserve">Sharing professional identity with students, and the ways of thinking and practicing in the discipline, can be a teacher’s most powerful resource </w:t>
            </w:r>
            <w:r w:rsidR="00147C6A">
              <w:rPr>
                <w:rStyle w:val="A0"/>
                <w:rFonts w:ascii="Arial" w:hAnsi="Arial" w:cs="Arial"/>
                <w:sz w:val="22"/>
                <w:szCs w:val="22"/>
              </w:rPr>
              <w:t>for transforming learning.  Such approaches</w:t>
            </w:r>
            <w:r w:rsidRPr="00147C6A">
              <w:rPr>
                <w:rStyle w:val="A0"/>
                <w:rFonts w:ascii="Arial" w:hAnsi="Arial" w:cs="Arial"/>
                <w:sz w:val="22"/>
                <w:szCs w:val="22"/>
              </w:rPr>
              <w:t xml:space="preserve"> help students </w:t>
            </w:r>
            <w:r w:rsidRPr="00147C6A">
              <w:rPr>
                <w:rFonts w:ascii="Arial" w:hAnsi="Arial" w:cs="Arial"/>
                <w:color w:val="000000"/>
                <w:sz w:val="22"/>
                <w:szCs w:val="22"/>
              </w:rPr>
              <w:t xml:space="preserve">progress from ‘knowing’ and ‘acting’ to </w:t>
            </w:r>
            <w:r w:rsidRPr="00147C6A">
              <w:rPr>
                <w:rFonts w:ascii="Arial" w:hAnsi="Arial" w:cs="Arial"/>
                <w:bCs/>
                <w:color w:val="000000"/>
                <w:sz w:val="22"/>
                <w:szCs w:val="22"/>
              </w:rPr>
              <w:t xml:space="preserve">‘being’, to becoming a type of person. </w:t>
            </w:r>
            <w:r w:rsidR="00147C6A">
              <w:rPr>
                <w:rFonts w:ascii="Arial" w:hAnsi="Arial" w:cs="Arial"/>
                <w:bCs/>
                <w:color w:val="000000"/>
                <w:sz w:val="22"/>
                <w:szCs w:val="22"/>
              </w:rPr>
              <w:t xml:space="preserve"> </w:t>
            </w:r>
          </w:p>
          <w:p w:rsidR="00147C6A" w:rsidP="00C03B95" w:rsidRDefault="00147C6A" w14:paraId="2DF2A637" w14:textId="77777777">
            <w:pPr>
              <w:rPr>
                <w:rFonts w:ascii="Arial" w:hAnsi="Arial" w:cs="Arial"/>
                <w:bCs/>
                <w:color w:val="000000"/>
                <w:sz w:val="22"/>
                <w:szCs w:val="22"/>
              </w:rPr>
            </w:pPr>
          </w:p>
          <w:p w:rsidRPr="00147C6A" w:rsidR="00B71050" w:rsidP="00C03B95" w:rsidRDefault="00147C6A" w14:paraId="5CE88BD3" w14:textId="351DD19B">
            <w:pPr>
              <w:rPr>
                <w:rStyle w:val="A0"/>
                <w:rFonts w:ascii="Arial" w:hAnsi="Arial" w:cs="Arial"/>
                <w:sz w:val="19"/>
                <w:szCs w:val="24"/>
              </w:rPr>
            </w:pPr>
            <w:r>
              <w:rPr>
                <w:rStyle w:val="A0"/>
                <w:rFonts w:ascii="Arial" w:hAnsi="Arial" w:cs="Arial"/>
                <w:sz w:val="22"/>
                <w:szCs w:val="22"/>
              </w:rPr>
              <w:t>In this workshop</w:t>
            </w:r>
            <w:r>
              <w:rPr>
                <w:rStyle w:val="A0"/>
                <w:rFonts w:ascii="Arial" w:hAnsi="Arial" w:cs="Arial"/>
                <w:sz w:val="22"/>
                <w:szCs w:val="22"/>
              </w:rPr>
              <w:t xml:space="preserve">, </w:t>
            </w:r>
            <w:r>
              <w:rPr>
                <w:rStyle w:val="A0"/>
                <w:rFonts w:ascii="Arial" w:hAnsi="Arial" w:cs="Arial"/>
                <w:sz w:val="22"/>
                <w:szCs w:val="22"/>
              </w:rPr>
              <w:t>participants</w:t>
            </w:r>
            <w:r>
              <w:rPr>
                <w:rStyle w:val="A0"/>
                <w:rFonts w:ascii="Arial" w:hAnsi="Arial" w:cs="Arial"/>
                <w:sz w:val="22"/>
                <w:szCs w:val="22"/>
              </w:rPr>
              <w:t xml:space="preserve"> will</w:t>
            </w:r>
            <w:r>
              <w:rPr>
                <w:rStyle w:val="A0"/>
                <w:rFonts w:ascii="Arial" w:hAnsi="Arial" w:cs="Arial"/>
                <w:sz w:val="22"/>
                <w:szCs w:val="22"/>
              </w:rPr>
              <w:t xml:space="preserve"> reflect upon and explore how their</w:t>
            </w:r>
            <w:r>
              <w:rPr>
                <w:rStyle w:val="A0"/>
                <w:rFonts w:ascii="Arial" w:hAnsi="Arial" w:cs="Arial"/>
                <w:sz w:val="22"/>
                <w:szCs w:val="22"/>
              </w:rPr>
              <w:t xml:space="preserve"> disciplinary identity and experience in professional practice might inform desig</w:t>
            </w:r>
            <w:r>
              <w:rPr>
                <w:rStyle w:val="A0"/>
                <w:rFonts w:ascii="Arial" w:hAnsi="Arial" w:cs="Arial"/>
                <w:sz w:val="22"/>
                <w:szCs w:val="22"/>
              </w:rPr>
              <w:t xml:space="preserve">n of curricula </w:t>
            </w:r>
            <w:r w:rsidR="00DD0D0D">
              <w:rPr>
                <w:rStyle w:val="A0"/>
                <w:rFonts w:ascii="Arial" w:hAnsi="Arial" w:cs="Arial"/>
                <w:sz w:val="22"/>
                <w:szCs w:val="22"/>
              </w:rPr>
              <w:t xml:space="preserve">(or </w:t>
            </w:r>
            <w:r w:rsidR="00DD0D0D">
              <w:rPr>
                <w:rStyle w:val="A0"/>
                <w:rFonts w:ascii="Arial" w:hAnsi="Arial" w:cs="Arial"/>
                <w:sz w:val="22"/>
                <w:szCs w:val="22"/>
              </w:rPr>
              <w:t>individual sessio</w:t>
            </w:r>
            <w:r w:rsidR="00DD0D0D">
              <w:rPr>
                <w:rStyle w:val="A0"/>
                <w:rFonts w:ascii="Arial" w:hAnsi="Arial" w:cs="Arial"/>
                <w:sz w:val="22"/>
                <w:szCs w:val="22"/>
              </w:rPr>
              <w:t>ns)</w:t>
            </w:r>
            <w:r w:rsidR="00DD0D0D">
              <w:rPr>
                <w:rStyle w:val="A0"/>
                <w:rFonts w:ascii="Arial" w:hAnsi="Arial" w:cs="Arial"/>
                <w:sz w:val="22"/>
                <w:szCs w:val="22"/>
              </w:rPr>
              <w:t xml:space="preserve"> </w:t>
            </w:r>
            <w:r>
              <w:rPr>
                <w:rStyle w:val="A0"/>
                <w:rFonts w:ascii="Arial" w:hAnsi="Arial" w:cs="Arial"/>
                <w:sz w:val="22"/>
                <w:szCs w:val="22"/>
              </w:rPr>
              <w:t>that aim to give</w:t>
            </w:r>
            <w:r>
              <w:rPr>
                <w:rStyle w:val="A0"/>
                <w:rFonts w:ascii="Arial" w:hAnsi="Arial" w:cs="Arial"/>
                <w:sz w:val="22"/>
                <w:szCs w:val="22"/>
              </w:rPr>
              <w:t xml:space="preserve"> students access to ways of thinking and practicing that are rarely made explicit.</w:t>
            </w:r>
            <w:r w:rsidRPr="00772E7D">
              <w:rPr>
                <w:rFonts w:ascii="Arial" w:hAnsi="Arial" w:cs="Arial"/>
                <w:color w:val="000000"/>
              </w:rPr>
              <w:t xml:space="preserve"> </w:t>
            </w:r>
            <w:r>
              <w:rPr>
                <w:rFonts w:ascii="Arial" w:hAnsi="Arial" w:cs="Arial"/>
                <w:color w:val="000000"/>
              </w:rPr>
              <w:t xml:space="preserve">  </w:t>
            </w:r>
            <w:r>
              <w:rPr>
                <w:rFonts w:ascii="Arial" w:hAnsi="Arial" w:cs="Arial"/>
                <w:bCs/>
                <w:color w:val="000000"/>
                <w:sz w:val="22"/>
                <w:szCs w:val="22"/>
              </w:rPr>
              <w:t xml:space="preserve"> </w:t>
            </w:r>
            <w:r w:rsidR="00C21D43">
              <w:rPr>
                <w:rFonts w:ascii="Arial" w:hAnsi="Arial" w:cs="Arial"/>
                <w:bCs/>
                <w:color w:val="000000"/>
                <w:sz w:val="22"/>
                <w:szCs w:val="22"/>
              </w:rPr>
              <w:t>To set the scene, theoretical frameworks will be outlined</w:t>
            </w:r>
            <w:r w:rsidR="00DD0D0D">
              <w:rPr>
                <w:rFonts w:ascii="Arial" w:hAnsi="Arial" w:cs="Arial"/>
                <w:bCs/>
                <w:color w:val="000000"/>
                <w:sz w:val="22"/>
                <w:szCs w:val="22"/>
              </w:rPr>
              <w:t>,</w:t>
            </w:r>
            <w:r w:rsidR="00C21D43">
              <w:rPr>
                <w:rFonts w:ascii="Arial" w:hAnsi="Arial" w:cs="Arial"/>
                <w:bCs/>
                <w:color w:val="000000"/>
                <w:sz w:val="22"/>
                <w:szCs w:val="22"/>
              </w:rPr>
              <w:t xml:space="preserve"> and examples</w:t>
            </w:r>
            <w:r>
              <w:rPr>
                <w:rFonts w:ascii="Arial" w:hAnsi="Arial" w:cs="Arial"/>
                <w:bCs/>
                <w:color w:val="000000"/>
                <w:sz w:val="22"/>
                <w:szCs w:val="22"/>
              </w:rPr>
              <w:t xml:space="preserve"> given from the facilitator’</w:t>
            </w:r>
            <w:r w:rsidR="00C21D43">
              <w:rPr>
                <w:rFonts w:ascii="Arial" w:hAnsi="Arial" w:cs="Arial"/>
                <w:bCs/>
                <w:color w:val="000000"/>
                <w:sz w:val="22"/>
                <w:szCs w:val="22"/>
              </w:rPr>
              <w:t>s practice.  These include</w:t>
            </w:r>
            <w:r w:rsidRPr="00147C6A" w:rsidR="00C03B95">
              <w:rPr>
                <w:rStyle w:val="A0"/>
                <w:rFonts w:ascii="Arial" w:hAnsi="Arial" w:cs="Arial"/>
                <w:sz w:val="22"/>
                <w:szCs w:val="22"/>
              </w:rPr>
              <w:t xml:space="preserve"> curriculum frameworks that let students experience the creativity of research and project ownership, use of authentic assessments aligned with practice, and sessions that show students behind the scenes to the socio</w:t>
            </w:r>
            <w:r>
              <w:rPr>
                <w:rStyle w:val="A0"/>
                <w:rFonts w:ascii="Arial" w:hAnsi="Arial" w:cs="Arial"/>
                <w:sz w:val="22"/>
                <w:szCs w:val="22"/>
              </w:rPr>
              <w:t>-</w:t>
            </w:r>
            <w:r w:rsidRPr="00147C6A" w:rsidR="00C03B95">
              <w:rPr>
                <w:rStyle w:val="A0"/>
                <w:rFonts w:ascii="Arial" w:hAnsi="Arial" w:cs="Arial"/>
                <w:sz w:val="22"/>
                <w:szCs w:val="22"/>
              </w:rPr>
              <w:t xml:space="preserve">politics of research and how knowledge is generated.  </w:t>
            </w:r>
          </w:p>
          <w:p w:rsidR="00147C6A" w:rsidP="00C03B95" w:rsidRDefault="00147C6A" w14:paraId="604907AD" w14:textId="77777777">
            <w:pPr>
              <w:rPr>
                <w:rStyle w:val="A0"/>
                <w:rFonts w:ascii="Arial" w:hAnsi="Arial" w:cs="Arial"/>
                <w:sz w:val="22"/>
                <w:szCs w:val="22"/>
              </w:rPr>
            </w:pPr>
          </w:p>
          <w:p w:rsidRPr="00147C6A" w:rsidR="00147C6A" w:rsidP="00147C6A" w:rsidRDefault="00147C6A" w14:paraId="6C644BD5" w14:textId="4C61EC37">
            <w:pPr>
              <w:rPr>
                <w:rFonts w:ascii="Times" w:hAnsi="Times"/>
                <w:color w:val="000000"/>
                <w:sz w:val="22"/>
                <w:szCs w:val="22"/>
              </w:rPr>
            </w:pPr>
          </w:p>
        </w:tc>
      </w:tr>
      <w:tr w:rsidRPr="00FE424E" w:rsidR="00C1428D" w:rsidTr="002963F7" w14:paraId="2388DB10" w14:textId="77777777">
        <w:tc>
          <w:tcPr>
            <w:tcW w:w="2668" w:type="dxa"/>
            <w:shd w:val="clear" w:color="auto" w:fill="D9D9D9" w:themeFill="background1" w:themeFillShade="D9"/>
          </w:tcPr>
          <w:p w:rsidRPr="00FE424E" w:rsidR="00C1428D" w:rsidP="002963F7" w:rsidRDefault="00C1428D" w14:paraId="3F1E5731" w14:textId="77777777">
            <w:pPr>
              <w:pStyle w:val="Tabletext"/>
              <w:rPr>
                <w:rFonts w:ascii="Times New Roman" w:hAnsi="Times New Roman"/>
                <w:b/>
                <w:sz w:val="22"/>
                <w:szCs w:val="22"/>
              </w:rPr>
            </w:pPr>
            <w:r w:rsidRPr="00FE424E">
              <w:rPr>
                <w:rFonts w:ascii="Times New Roman" w:hAnsi="Times New Roman"/>
                <w:b/>
                <w:color w:val="000000" w:themeColor="text1"/>
                <w:sz w:val="22"/>
                <w:szCs w:val="22"/>
              </w:rPr>
              <w:t xml:space="preserve">Session intended learning </w:t>
            </w:r>
            <w:r w:rsidRPr="00FE424E">
              <w:rPr>
                <w:rFonts w:ascii="Times New Roman" w:hAnsi="Times New Roman"/>
                <w:b/>
                <w:sz w:val="22"/>
                <w:szCs w:val="22"/>
              </w:rPr>
              <w:t>outcomes</w:t>
            </w:r>
          </w:p>
          <w:p w:rsidRPr="00FE424E" w:rsidR="00C1428D" w:rsidP="002963F7" w:rsidRDefault="00C1428D" w14:paraId="0A03C3E0" w14:textId="77777777">
            <w:pPr>
              <w:pStyle w:val="Tabletext"/>
              <w:rPr>
                <w:rFonts w:ascii="Times New Roman" w:hAnsi="Times New Roman"/>
                <w:sz w:val="22"/>
                <w:szCs w:val="22"/>
              </w:rPr>
            </w:pPr>
            <w:r w:rsidRPr="00FE424E">
              <w:rPr>
                <w:rFonts w:ascii="Times New Roman" w:hAnsi="Times New Roman"/>
                <w:sz w:val="22"/>
                <w:szCs w:val="22"/>
              </w:rPr>
              <w:t>What will the audience learn or gain in relation to the main focus/topic/theme of the session?</w:t>
            </w:r>
          </w:p>
          <w:p w:rsidRPr="00FE424E" w:rsidR="00C1428D" w:rsidP="002963F7" w:rsidRDefault="00C1428D" w14:paraId="4D7E3061" w14:textId="77777777">
            <w:pPr>
              <w:pStyle w:val="Tabletext"/>
              <w:rPr>
                <w:rFonts w:ascii="Times New Roman" w:hAnsi="Times New Roman"/>
                <w:b/>
                <w:sz w:val="22"/>
                <w:szCs w:val="22"/>
              </w:rPr>
            </w:pPr>
          </w:p>
        </w:tc>
        <w:tc>
          <w:tcPr>
            <w:tcW w:w="6830" w:type="dxa"/>
            <w:gridSpan w:val="2"/>
          </w:tcPr>
          <w:p w:rsidR="00C21D43" w:rsidP="00147C6A" w:rsidRDefault="00C21D43" w14:paraId="5D6F13D5" w14:textId="77777777">
            <w:pPr>
              <w:rPr>
                <w:rFonts w:ascii="Arial" w:hAnsi="Arial" w:cs="Arial"/>
                <w:sz w:val="22"/>
                <w:szCs w:val="22"/>
              </w:rPr>
            </w:pPr>
            <w:r>
              <w:rPr>
                <w:rFonts w:ascii="Arial" w:hAnsi="Arial" w:cs="Arial"/>
                <w:sz w:val="22"/>
                <w:szCs w:val="22"/>
              </w:rPr>
              <w:t>After engaging with this session, participants will be able to</w:t>
            </w:r>
          </w:p>
          <w:p w:rsidRPr="00C21D43" w:rsidR="00C21D43" w:rsidP="00C21D43" w:rsidRDefault="00DD0D0D" w14:paraId="6C186A4A" w14:textId="5FE97252">
            <w:pPr>
              <w:pStyle w:val="ListParagraph"/>
              <w:numPr>
                <w:ilvl w:val="0"/>
                <w:numId w:val="7"/>
              </w:numPr>
              <w:rPr>
                <w:rFonts w:ascii="Arial" w:hAnsi="Arial" w:cs="Arial"/>
              </w:rPr>
            </w:pPr>
            <w:r>
              <w:rPr>
                <w:rFonts w:ascii="Arial" w:hAnsi="Arial" w:cs="Arial"/>
                <w:sz w:val="22"/>
                <w:szCs w:val="22"/>
              </w:rPr>
              <w:t>Critically reflect on</w:t>
            </w:r>
            <w:r w:rsidR="00C21D43">
              <w:rPr>
                <w:rFonts w:ascii="Arial" w:hAnsi="Arial" w:cs="Arial"/>
                <w:sz w:val="22"/>
                <w:szCs w:val="22"/>
              </w:rPr>
              <w:t xml:space="preserve"> </w:t>
            </w:r>
            <w:r>
              <w:rPr>
                <w:rFonts w:ascii="Arial" w:hAnsi="Arial" w:cs="Arial"/>
                <w:sz w:val="22"/>
                <w:szCs w:val="22"/>
              </w:rPr>
              <w:t>the extent to which</w:t>
            </w:r>
            <w:r w:rsidR="00C21D43">
              <w:rPr>
                <w:rFonts w:ascii="Arial" w:hAnsi="Arial" w:cs="Arial"/>
                <w:sz w:val="22"/>
                <w:szCs w:val="22"/>
              </w:rPr>
              <w:t xml:space="preserve"> teachers sharing </w:t>
            </w:r>
            <w:r>
              <w:rPr>
                <w:rFonts w:ascii="Arial" w:hAnsi="Arial" w:cs="Arial"/>
                <w:sz w:val="22"/>
                <w:szCs w:val="22"/>
              </w:rPr>
              <w:t xml:space="preserve">of </w:t>
            </w:r>
            <w:r w:rsidR="00C21D43">
              <w:rPr>
                <w:rFonts w:ascii="Arial" w:hAnsi="Arial" w:cs="Arial"/>
                <w:sz w:val="22"/>
                <w:szCs w:val="22"/>
              </w:rPr>
              <w:t>professional identity</w:t>
            </w:r>
            <w:r>
              <w:rPr>
                <w:rFonts w:ascii="Arial" w:hAnsi="Arial" w:cs="Arial"/>
                <w:sz w:val="22"/>
                <w:szCs w:val="22"/>
              </w:rPr>
              <w:t xml:space="preserve"> &amp; practice</w:t>
            </w:r>
            <w:r w:rsidR="00C21D43">
              <w:rPr>
                <w:rFonts w:ascii="Arial" w:hAnsi="Arial" w:cs="Arial"/>
                <w:sz w:val="22"/>
                <w:szCs w:val="22"/>
              </w:rPr>
              <w:t xml:space="preserve"> can be tr</w:t>
            </w:r>
            <w:r>
              <w:rPr>
                <w:rFonts w:ascii="Arial" w:hAnsi="Arial" w:cs="Arial"/>
                <w:sz w:val="22"/>
                <w:szCs w:val="22"/>
              </w:rPr>
              <w:t>ansformational for learners.</w:t>
            </w:r>
          </w:p>
          <w:p w:rsidRPr="00DD0D0D" w:rsidR="00DD0D0D" w:rsidP="00DD0D0D" w:rsidRDefault="00C21D43" w14:paraId="7D9A72EF" w14:textId="06B8E7BB">
            <w:pPr>
              <w:pStyle w:val="ListParagraph"/>
              <w:numPr>
                <w:ilvl w:val="0"/>
                <w:numId w:val="7"/>
              </w:numPr>
              <w:rPr>
                <w:rFonts w:ascii="Arial" w:hAnsi="Arial" w:cs="Arial"/>
              </w:rPr>
            </w:pPr>
            <w:r>
              <w:rPr>
                <w:rFonts w:ascii="Arial" w:hAnsi="Arial" w:cs="Arial"/>
                <w:sz w:val="22"/>
                <w:szCs w:val="22"/>
              </w:rPr>
              <w:t>Discern aspects of their own</w:t>
            </w:r>
            <w:r w:rsidR="00DD0D0D">
              <w:rPr>
                <w:rFonts w:ascii="Arial" w:hAnsi="Arial" w:cs="Arial"/>
                <w:sz w:val="22"/>
                <w:szCs w:val="22"/>
              </w:rPr>
              <w:t>, or others’,</w:t>
            </w:r>
            <w:r>
              <w:rPr>
                <w:rFonts w:ascii="Arial" w:hAnsi="Arial" w:cs="Arial"/>
                <w:sz w:val="22"/>
                <w:szCs w:val="22"/>
              </w:rPr>
              <w:t xml:space="preserve"> teac</w:t>
            </w:r>
            <w:r w:rsidR="00DD0D0D">
              <w:rPr>
                <w:rFonts w:ascii="Arial" w:hAnsi="Arial" w:cs="Arial"/>
                <w:sz w:val="22"/>
                <w:szCs w:val="22"/>
              </w:rPr>
              <w:t xml:space="preserve">hing practice that embodies sharing of professional identity with students and has the power to transform.  </w:t>
            </w:r>
          </w:p>
          <w:p w:rsidRPr="00C21D43" w:rsidR="00C21D43" w:rsidP="00DA7344" w:rsidRDefault="00DD0D0D" w14:paraId="6B75DC14" w14:textId="16BD5B3F">
            <w:pPr>
              <w:pStyle w:val="ListParagraph"/>
              <w:numPr>
                <w:ilvl w:val="0"/>
                <w:numId w:val="7"/>
              </w:numPr>
              <w:rPr>
                <w:rFonts w:ascii="Arial" w:hAnsi="Arial" w:cs="Arial"/>
              </w:rPr>
            </w:pPr>
            <w:r>
              <w:rPr>
                <w:rFonts w:ascii="Arial" w:hAnsi="Arial" w:cs="Arial"/>
                <w:sz w:val="22"/>
                <w:szCs w:val="22"/>
              </w:rPr>
              <w:t>Apply the concepts</w:t>
            </w:r>
            <w:r w:rsidR="00DA7344">
              <w:rPr>
                <w:rFonts w:ascii="Arial" w:hAnsi="Arial" w:cs="Arial"/>
                <w:sz w:val="22"/>
                <w:szCs w:val="22"/>
              </w:rPr>
              <w:t xml:space="preserve"> creatively to their own practice and wider shaping of curriculum</w:t>
            </w:r>
            <w:bookmarkStart w:name="_GoBack" w:id="0"/>
            <w:bookmarkEnd w:id="0"/>
            <w:r w:rsidR="00DA7344">
              <w:rPr>
                <w:rFonts w:ascii="Arial" w:hAnsi="Arial" w:cs="Arial"/>
                <w:sz w:val="22"/>
                <w:szCs w:val="22"/>
              </w:rPr>
              <w:t xml:space="preserve">.  </w:t>
            </w:r>
          </w:p>
        </w:tc>
      </w:tr>
      <w:tr w:rsidRPr="00FE424E" w:rsidR="00C1428D" w:rsidTr="002963F7" w14:paraId="616EF889" w14:textId="77777777">
        <w:tc>
          <w:tcPr>
            <w:tcW w:w="2668" w:type="dxa"/>
            <w:shd w:val="clear" w:color="auto" w:fill="D9D9D9" w:themeFill="background1" w:themeFillShade="D9"/>
          </w:tcPr>
          <w:p w:rsidRPr="00FE424E" w:rsidR="00C1428D" w:rsidP="002963F7" w:rsidRDefault="00C1428D" w14:paraId="5448A896" w14:textId="7FB28321">
            <w:pPr>
              <w:pStyle w:val="Tabletext"/>
              <w:rPr>
                <w:rFonts w:ascii="Times New Roman" w:hAnsi="Times New Roman"/>
                <w:b/>
                <w:color w:val="000000" w:themeColor="text1"/>
                <w:sz w:val="22"/>
                <w:szCs w:val="22"/>
              </w:rPr>
            </w:pPr>
            <w:r w:rsidRPr="00FE424E">
              <w:rPr>
                <w:rFonts w:ascii="Times New Roman" w:hAnsi="Times New Roman"/>
                <w:b/>
                <w:sz w:val="22"/>
                <w:szCs w:val="22"/>
              </w:rPr>
              <w:lastRenderedPageBreak/>
              <w:t xml:space="preserve">Methods of facilitation </w:t>
            </w:r>
            <w:r w:rsidRPr="00FE424E">
              <w:rPr>
                <w:rFonts w:ascii="Times New Roman" w:hAnsi="Times New Roman"/>
                <w:sz w:val="22"/>
                <w:szCs w:val="22"/>
              </w:rPr>
              <w:t>Pedagogical approaches and resources</w:t>
            </w:r>
          </w:p>
        </w:tc>
        <w:tc>
          <w:tcPr>
            <w:tcW w:w="6830" w:type="dxa"/>
            <w:gridSpan w:val="2"/>
          </w:tcPr>
          <w:p w:rsidRPr="00C21D43" w:rsidR="00C1428D" w:rsidP="00B71050" w:rsidRDefault="00C21D43" w14:paraId="0278700B" w14:textId="62C8295C">
            <w:pPr>
              <w:pStyle w:val="NormalWeb"/>
              <w:rPr>
                <w:rFonts w:ascii="Arial" w:hAnsi="Arial" w:cs="Arial"/>
                <w:color w:val="000000"/>
                <w:sz w:val="22"/>
                <w:szCs w:val="22"/>
              </w:rPr>
            </w:pPr>
            <w:r>
              <w:rPr>
                <w:rFonts w:ascii="Arial" w:hAnsi="Arial" w:cs="Arial"/>
                <w:color w:val="000000"/>
                <w:sz w:val="22"/>
                <w:szCs w:val="22"/>
              </w:rPr>
              <w:t>Workshop, to include theoretical framing and s</w:t>
            </w:r>
            <w:r w:rsidRPr="00C21D43" w:rsidR="00C03B95">
              <w:rPr>
                <w:rFonts w:ascii="Arial" w:hAnsi="Arial" w:cs="Arial"/>
                <w:color w:val="000000"/>
                <w:sz w:val="22"/>
                <w:szCs w:val="22"/>
              </w:rPr>
              <w:t>haring of facilitator practice in three areas, with questions/challenge/discussion, followed by reflection &amp; discussion in groups, feedback in plenary and final thoughts.</w:t>
            </w:r>
          </w:p>
        </w:tc>
      </w:tr>
    </w:tbl>
    <w:p w:rsidR="00C1428D" w:rsidRDefault="00C1428D" w14:paraId="794195DB" w14:textId="77777777"/>
    <w:sectPr w:rsidR="00C14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ingsBureauGrot-ThreeSeven">
    <w:altName w:val="Franklin Gothic Medium Cond"/>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KingsBureauGrot FiveOne">
    <w:altName w:val="Calibri"/>
    <w:charset w:val="00"/>
    <w:family w:val="auto"/>
    <w:pitch w:val="variable"/>
    <w:sig w:usb0="00000003" w:usb1="00000000" w:usb2="00000000" w:usb3="00000000" w:csb0="00000001" w:csb1="00000000"/>
  </w:font>
  <w:font w:name="VRCNL V+ Franklin Gothic ITC by">
    <w:altName w:val="Franklin Gothic IT Cb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7BD"/>
    <w:multiLevelType w:val="hybridMultilevel"/>
    <w:tmpl w:val="1440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2AC4"/>
    <w:multiLevelType w:val="hybridMultilevel"/>
    <w:tmpl w:val="98A80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662DC"/>
    <w:multiLevelType w:val="hybridMultilevel"/>
    <w:tmpl w:val="32985542"/>
    <w:lvl w:ilvl="0" w:tplc="798C7B2E">
      <w:start w:val="3"/>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15376"/>
    <w:multiLevelType w:val="hybridMultilevel"/>
    <w:tmpl w:val="36C0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A76D8"/>
    <w:multiLevelType w:val="hybridMultilevel"/>
    <w:tmpl w:val="2F4E31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B4B3D"/>
    <w:multiLevelType w:val="hybridMultilevel"/>
    <w:tmpl w:val="722C9CDE"/>
    <w:lvl w:ilvl="0" w:tplc="798C7B2E">
      <w:start w:val="3"/>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E108F"/>
    <w:multiLevelType w:val="hybridMultilevel"/>
    <w:tmpl w:val="F308F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8D"/>
    <w:rsid w:val="000969D6"/>
    <w:rsid w:val="00127600"/>
    <w:rsid w:val="0013752D"/>
    <w:rsid w:val="00147C6A"/>
    <w:rsid w:val="003B6615"/>
    <w:rsid w:val="005D18FB"/>
    <w:rsid w:val="005D6413"/>
    <w:rsid w:val="005F2403"/>
    <w:rsid w:val="00635584"/>
    <w:rsid w:val="0079776B"/>
    <w:rsid w:val="008F6ED7"/>
    <w:rsid w:val="009743AF"/>
    <w:rsid w:val="009F115B"/>
    <w:rsid w:val="00A166A6"/>
    <w:rsid w:val="00B71050"/>
    <w:rsid w:val="00B92017"/>
    <w:rsid w:val="00C03B95"/>
    <w:rsid w:val="00C1428D"/>
    <w:rsid w:val="00C21D43"/>
    <w:rsid w:val="00C47CCF"/>
    <w:rsid w:val="00DA7344"/>
    <w:rsid w:val="00DD0D0D"/>
    <w:rsid w:val="00FC66F5"/>
    <w:rsid w:val="00FD1880"/>
    <w:rsid w:val="00FF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9D97"/>
  <w15:chartTrackingRefBased/>
  <w15:docId w15:val="{53FDD835-8831-40A9-B7AF-A336F08A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8D"/>
    <w:rPr>
      <w:lang w:val="en-GB"/>
    </w:rPr>
  </w:style>
  <w:style w:type="paragraph" w:styleId="Heading1">
    <w:name w:val="heading 1"/>
    <w:basedOn w:val="Normal"/>
    <w:next w:val="Normal"/>
    <w:link w:val="Heading1Char"/>
    <w:uiPriority w:val="9"/>
    <w:qFormat/>
    <w:rsid w:val="00C14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white">
    <w:name w:val="Table head - white"/>
    <w:basedOn w:val="Normal"/>
    <w:uiPriority w:val="99"/>
    <w:rsid w:val="00C1428D"/>
    <w:pPr>
      <w:spacing w:after="0" w:line="240" w:lineRule="exact"/>
    </w:pPr>
    <w:rPr>
      <w:rFonts w:ascii="KingsBureauGrot-ThreeSeven" w:eastAsia="MS P????" w:hAnsi="KingsBureauGrot-ThreeSeven" w:cs="Times New Roman"/>
      <w:color w:val="FFFFFF"/>
      <w:spacing w:val="-2"/>
      <w:sz w:val="19"/>
      <w:szCs w:val="19"/>
    </w:rPr>
  </w:style>
  <w:style w:type="paragraph" w:customStyle="1" w:styleId="Tabletext">
    <w:name w:val="Table text"/>
    <w:basedOn w:val="Normal"/>
    <w:uiPriority w:val="99"/>
    <w:rsid w:val="00C1428D"/>
    <w:pPr>
      <w:spacing w:after="0" w:line="240" w:lineRule="exact"/>
    </w:pPr>
    <w:rPr>
      <w:rFonts w:ascii="KingsBureauGrot FiveOne" w:eastAsia="MS P????" w:hAnsi="KingsBureauGrot FiveOne" w:cs="Times New Roman"/>
      <w:color w:val="28131D"/>
      <w:spacing w:val="-2"/>
      <w:sz w:val="19"/>
      <w:szCs w:val="19"/>
    </w:rPr>
  </w:style>
  <w:style w:type="table" w:customStyle="1" w:styleId="Kingstablestyle1">
    <w:name w:val="King's table style 1"/>
    <w:basedOn w:val="TableNormal"/>
    <w:uiPriority w:val="99"/>
    <w:rsid w:val="00C1428D"/>
    <w:pPr>
      <w:spacing w:after="0" w:line="240" w:lineRule="exact"/>
    </w:pPr>
    <w:rPr>
      <w:rFonts w:ascii="KingsBureauGrot FiveOne" w:eastAsiaTheme="minorEastAsia" w:hAnsi="KingsBureauGrot FiveOne"/>
      <w:sz w:val="19"/>
      <w:szCs w:val="24"/>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5B9BD5" w:themeFill="accent1"/>
      </w:tcPr>
    </w:tblStylePr>
  </w:style>
  <w:style w:type="paragraph" w:customStyle="1" w:styleId="Heading1-nospaceafter">
    <w:name w:val="Heading 1 - no space after"/>
    <w:basedOn w:val="Heading1"/>
    <w:qFormat/>
    <w:rsid w:val="00C1428D"/>
    <w:pPr>
      <w:spacing w:before="0" w:line="480" w:lineRule="exact"/>
    </w:pPr>
    <w:rPr>
      <w:rFonts w:ascii="KingsBureauGrot-ThreeSeven" w:eastAsia="MS P????" w:hAnsi="KingsBureauGrot-ThreeSeven" w:cs="Times New Roman"/>
      <w:color w:val="44546A" w:themeColor="text2"/>
      <w:spacing w:val="-10"/>
      <w:sz w:val="44"/>
      <w:szCs w:val="44"/>
      <w:lang w:val="en-US"/>
    </w:rPr>
  </w:style>
  <w:style w:type="character" w:customStyle="1" w:styleId="Heading1Char">
    <w:name w:val="Heading 1 Char"/>
    <w:basedOn w:val="DefaultParagraphFont"/>
    <w:link w:val="Heading1"/>
    <w:uiPriority w:val="9"/>
    <w:rsid w:val="00C1428D"/>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B71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050"/>
    <w:pPr>
      <w:ind w:left="720"/>
      <w:contextualSpacing/>
    </w:pPr>
  </w:style>
  <w:style w:type="character" w:customStyle="1" w:styleId="A0">
    <w:name w:val="A0"/>
    <w:uiPriority w:val="99"/>
    <w:rsid w:val="00C03B95"/>
    <w:rPr>
      <w:rFonts w:cs="VRCNL V+ Franklin Gothic ITC by"/>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1034">
      <w:bodyDiv w:val="1"/>
      <w:marLeft w:val="0"/>
      <w:marRight w:val="0"/>
      <w:marTop w:val="0"/>
      <w:marBottom w:val="0"/>
      <w:divBdr>
        <w:top w:val="none" w:sz="0" w:space="0" w:color="auto"/>
        <w:left w:val="none" w:sz="0" w:space="0" w:color="auto"/>
        <w:bottom w:val="none" w:sz="0" w:space="0" w:color="auto"/>
        <w:right w:val="none" w:sz="0" w:space="0" w:color="auto"/>
      </w:divBdr>
    </w:div>
    <w:div w:id="510267002">
      <w:bodyDiv w:val="1"/>
      <w:marLeft w:val="0"/>
      <w:marRight w:val="0"/>
      <w:marTop w:val="0"/>
      <w:marBottom w:val="0"/>
      <w:divBdr>
        <w:top w:val="none" w:sz="0" w:space="0" w:color="auto"/>
        <w:left w:val="none" w:sz="0" w:space="0" w:color="auto"/>
        <w:bottom w:val="none" w:sz="0" w:space="0" w:color="auto"/>
        <w:right w:val="none" w:sz="0" w:space="0" w:color="auto"/>
      </w:divBdr>
    </w:div>
    <w:div w:id="1015183958">
      <w:bodyDiv w:val="1"/>
      <w:marLeft w:val="0"/>
      <w:marRight w:val="0"/>
      <w:marTop w:val="0"/>
      <w:marBottom w:val="0"/>
      <w:divBdr>
        <w:top w:val="none" w:sz="0" w:space="0" w:color="auto"/>
        <w:left w:val="none" w:sz="0" w:space="0" w:color="auto"/>
        <w:bottom w:val="none" w:sz="0" w:space="0" w:color="auto"/>
        <w:right w:val="none" w:sz="0" w:space="0" w:color="auto"/>
      </w:divBdr>
    </w:div>
    <w:div w:id="18147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Jane  Saffell EduFocus July 2019</dc:title>
  <dc:subject>
  </dc:subject>
  <dc:creator>Thushari Welikala</dc:creator>
  <cp:keywords>
  </cp:keywords>
  <dc:description>
  </dc:description>
  <cp:lastModifiedBy>Sebastian</cp:lastModifiedBy>
  <cp:revision>2</cp:revision>
  <dcterms:created xsi:type="dcterms:W3CDTF">2019-07-26T12:45:00Z</dcterms:created>
  <dcterms:modified xsi:type="dcterms:W3CDTF">2020-09-18T14:55:44Z</dcterms:modified>
</cp:coreProperties>
</file>