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313D36" w:rsidR="003E6FCC" w:rsidP="003E6FCC" w:rsidRDefault="003E6FCC">
      <w:pPr>
        <w:ind w:right="-188"/>
        <w:rPr>
          <w:rFonts w:ascii="Times New Roman" w:hAnsi="Times New Roman" w:cs="Times New Roman"/>
          <w:spacing w:val="20"/>
        </w:rPr>
      </w:pPr>
      <w:bookmarkStart w:name="_GoBack" w:id="0"/>
      <w:bookmarkEnd w:id="0"/>
      <w:r>
        <w:rPr>
          <w:noProof/>
          <w:lang w:val="en-US"/>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684800" cy="806400"/>
            <wp:effectExtent l="0" t="0" r="0" b="0"/>
            <wp:wrapTight wrapText="right">
              <wp:wrapPolygon edited="0">
                <wp:start x="0" y="0"/>
                <wp:lineTo x="0" y="20936"/>
                <wp:lineTo x="21250" y="20936"/>
                <wp:lineTo x="212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84800" cy="806400"/>
                    </a:xfrm>
                    <a:prstGeom prst="rect">
                      <a:avLst/>
                    </a:prstGeom>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r>
        <w:tab/>
      </w:r>
      <w:r>
        <w:tab/>
      </w:r>
      <w:r>
        <w:tab/>
      </w:r>
      <w:r>
        <w:tab/>
      </w:r>
      <w:r>
        <w:tab/>
      </w:r>
      <w:r w:rsidRPr="008E5276">
        <w:rPr>
          <w:rFonts w:ascii="Times New Roman" w:hAnsi="Times New Roman" w:cs="Times New Roman"/>
          <w:spacing w:val="20"/>
          <w:sz w:val="26"/>
          <w:szCs w:val="26"/>
        </w:rPr>
        <w:t>INSTITUTE</w:t>
      </w:r>
      <w:r w:rsidRPr="00313D36">
        <w:rPr>
          <w:rFonts w:ascii="Times New Roman" w:hAnsi="Times New Roman" w:cs="Times New Roman"/>
          <w:spacing w:val="20"/>
        </w:rPr>
        <w:t xml:space="preserve"> </w:t>
      </w:r>
      <w:r w:rsidRPr="006060E5">
        <w:rPr>
          <w:rFonts w:ascii="Times New Roman" w:hAnsi="Times New Roman" w:cs="Times New Roman"/>
          <w:spacing w:val="20"/>
          <w:sz w:val="20"/>
          <w:szCs w:val="20"/>
        </w:rPr>
        <w:t>FOR</w:t>
      </w:r>
    </w:p>
    <w:p w:rsidRPr="006060E5" w:rsidR="003E6FCC" w:rsidP="003E6FCC" w:rsidRDefault="003E6FCC">
      <w:pPr>
        <w:ind w:left="10080" w:right="-188" w:firstLine="720"/>
        <w:rPr>
          <w:rFonts w:ascii="Times New Roman" w:hAnsi="Times New Roman" w:cs="Times New Roman"/>
          <w:color w:val="0070C0"/>
          <w:spacing w:val="20"/>
          <w:sz w:val="32"/>
          <w:szCs w:val="32"/>
        </w:rPr>
      </w:pPr>
      <w:r w:rsidRPr="006060E5">
        <w:rPr>
          <w:rFonts w:ascii="Times New Roman" w:hAnsi="Times New Roman" w:cs="Times New Roman"/>
          <w:color w:val="0070C0"/>
          <w:spacing w:val="20"/>
          <w:sz w:val="32"/>
          <w:szCs w:val="32"/>
        </w:rPr>
        <w:t>INFECTION &amp;</w:t>
      </w:r>
    </w:p>
    <w:p w:rsidR="003E6FCC" w:rsidP="003E6FCC" w:rsidRDefault="003E6FCC">
      <w:pPr>
        <w:ind w:left="10080" w:right="-188" w:firstLine="720"/>
      </w:pPr>
      <w:r w:rsidRPr="006060E5">
        <w:rPr>
          <w:rFonts w:ascii="Times New Roman" w:hAnsi="Times New Roman" w:cs="Times New Roman"/>
          <w:color w:val="0070C0"/>
          <w:spacing w:val="20"/>
          <w:sz w:val="32"/>
          <w:szCs w:val="32"/>
        </w:rPr>
        <w:t>IMMUNITY</w:t>
      </w:r>
    </w:p>
    <w:p w:rsidR="003E6FCC" w:rsidP="003E6FCC" w:rsidRDefault="00453E50">
      <w:pPr>
        <w:ind w:right="-188"/>
        <w:jc w:val="center"/>
        <w:rPr>
          <w:b/>
          <w:sz w:val="28"/>
          <w:szCs w:val="28"/>
        </w:rPr>
      </w:pPr>
      <w:r>
        <w:rPr>
          <w:b/>
          <w:sz w:val="28"/>
          <w:szCs w:val="28"/>
        </w:rPr>
        <w:t xml:space="preserve">Institute </w:t>
      </w:r>
      <w:r w:rsidRPr="003E6FCC" w:rsidR="003E6FCC">
        <w:rPr>
          <w:b/>
          <w:sz w:val="28"/>
          <w:szCs w:val="28"/>
        </w:rPr>
        <w:t>Statutory Requirements</w:t>
      </w:r>
    </w:p>
    <w:p w:rsidRPr="003E6FCC" w:rsidR="00284FDD" w:rsidP="00284FDD" w:rsidRDefault="00284FDD">
      <w:pPr>
        <w:ind w:right="-188"/>
        <w:jc w:val="both"/>
        <w:rPr>
          <w:rFonts w:ascii="Times New Roman" w:hAnsi="Times New Roman" w:cs="Times New Roman"/>
          <w:b/>
          <w:color w:val="0070C0"/>
          <w:spacing w:val="20"/>
          <w:sz w:val="28"/>
          <w:szCs w:val="28"/>
        </w:rPr>
      </w:pPr>
      <w:r>
        <w:rPr>
          <w:b/>
          <w:sz w:val="28"/>
          <w:szCs w:val="28"/>
        </w:rPr>
        <w:t>Note: Individuals applying for institute funding will need to demonstrate they are compliant and up to date with requirements if they wish to apply for institute funding such as personal staff development funds. Exceptions would be considered by the Director of the Institute.</w:t>
      </w:r>
    </w:p>
    <w:tbl>
      <w:tblPr>
        <w:tblStyle w:val="TableGrid"/>
        <w:tblW w:w="13948" w:type="dxa"/>
        <w:tblLook w:val="04A0" w:firstRow="1" w:lastRow="0" w:firstColumn="1" w:lastColumn="0" w:noHBand="0" w:noVBand="1"/>
      </w:tblPr>
      <w:tblGrid>
        <w:gridCol w:w="2273"/>
        <w:gridCol w:w="2303"/>
        <w:gridCol w:w="1493"/>
        <w:gridCol w:w="3081"/>
        <w:gridCol w:w="1618"/>
        <w:gridCol w:w="3180"/>
      </w:tblGrid>
      <w:tr w:rsidR="00C6507D" w:rsidTr="00C6507D">
        <w:tc>
          <w:tcPr>
            <w:tcW w:w="2273" w:type="dxa"/>
          </w:tcPr>
          <w:p w:rsidR="00C6507D" w:rsidP="00ED1274" w:rsidRDefault="00C6507D">
            <w:r>
              <w:t>Service Area</w:t>
            </w:r>
          </w:p>
        </w:tc>
        <w:tc>
          <w:tcPr>
            <w:tcW w:w="2303" w:type="dxa"/>
          </w:tcPr>
          <w:p w:rsidR="00C6507D" w:rsidP="00ED1274" w:rsidRDefault="00C6507D">
            <w:r>
              <w:t>Service Area Detail</w:t>
            </w:r>
          </w:p>
        </w:tc>
        <w:tc>
          <w:tcPr>
            <w:tcW w:w="1493" w:type="dxa"/>
          </w:tcPr>
          <w:p w:rsidR="00C6507D" w:rsidP="00ED1274" w:rsidRDefault="00C6507D">
            <w:r>
              <w:t>Submit To</w:t>
            </w:r>
          </w:p>
        </w:tc>
        <w:tc>
          <w:tcPr>
            <w:tcW w:w="3081" w:type="dxa"/>
          </w:tcPr>
          <w:p w:rsidR="00C6507D" w:rsidP="00ED1274" w:rsidRDefault="00C6507D">
            <w:r>
              <w:t>Time period for submission</w:t>
            </w:r>
          </w:p>
        </w:tc>
        <w:tc>
          <w:tcPr>
            <w:tcW w:w="1618" w:type="dxa"/>
          </w:tcPr>
          <w:p w:rsidR="00C6507D" w:rsidP="00ED1274" w:rsidRDefault="00C6507D">
            <w:r>
              <w:t>Staff Category</w:t>
            </w:r>
          </w:p>
        </w:tc>
        <w:tc>
          <w:tcPr>
            <w:tcW w:w="3180" w:type="dxa"/>
          </w:tcPr>
          <w:p w:rsidR="00C6507D" w:rsidP="00ED1274" w:rsidRDefault="00C6507D">
            <w:r>
              <w:t>Comments</w:t>
            </w:r>
          </w:p>
        </w:tc>
      </w:tr>
      <w:tr w:rsidR="00C6507D" w:rsidTr="00C6507D">
        <w:tc>
          <w:tcPr>
            <w:tcW w:w="2273" w:type="dxa"/>
            <w:vMerge w:val="restart"/>
          </w:tcPr>
          <w:p w:rsidR="00C6507D" w:rsidP="00ED1274" w:rsidRDefault="00C6507D">
            <w:r>
              <w:t>Health &amp; Safety</w:t>
            </w:r>
          </w:p>
        </w:tc>
        <w:tc>
          <w:tcPr>
            <w:tcW w:w="2303" w:type="dxa"/>
          </w:tcPr>
          <w:p w:rsidR="00C6507D" w:rsidP="00ED1274" w:rsidRDefault="00C6507D"/>
          <w:p w:rsidR="00C6507D" w:rsidP="00ED1274" w:rsidRDefault="00C6507D">
            <w:r>
              <w:t>Completion of Biological Agents – Toxin</w:t>
            </w:r>
            <w:r w:rsidR="00EA5F2C">
              <w:t xml:space="preserve"> </w:t>
            </w:r>
            <w:r>
              <w:t xml:space="preserve">- Blood Notification forms </w:t>
            </w:r>
          </w:p>
        </w:tc>
        <w:tc>
          <w:tcPr>
            <w:tcW w:w="1493" w:type="dxa"/>
          </w:tcPr>
          <w:p w:rsidR="00C6507D" w:rsidP="00ED1274" w:rsidRDefault="00C6507D"/>
          <w:p w:rsidR="00C6507D" w:rsidP="00ED1274" w:rsidRDefault="00C47921">
            <w:r>
              <w:t xml:space="preserve">RIM &amp; </w:t>
            </w:r>
            <w:r w:rsidR="00C6507D">
              <w:t>H&amp;S</w:t>
            </w:r>
          </w:p>
        </w:tc>
        <w:tc>
          <w:tcPr>
            <w:tcW w:w="3081" w:type="dxa"/>
          </w:tcPr>
          <w:p w:rsidR="00C6507D" w:rsidP="00ED1274" w:rsidRDefault="00C6507D"/>
          <w:p w:rsidR="00C6507D" w:rsidP="00ED1274" w:rsidRDefault="00C6507D">
            <w:r>
              <w:t>Annually – February</w:t>
            </w:r>
          </w:p>
          <w:p w:rsidR="00C6507D" w:rsidP="00ED1274" w:rsidRDefault="00C6507D"/>
        </w:tc>
        <w:tc>
          <w:tcPr>
            <w:tcW w:w="1618" w:type="dxa"/>
          </w:tcPr>
          <w:p w:rsidR="00C6507D" w:rsidP="00ED1274" w:rsidRDefault="00C6507D"/>
          <w:p w:rsidR="00C6507D" w:rsidP="00ED1274" w:rsidRDefault="00C6507D">
            <w:r>
              <w:t>All Principal Investigators</w:t>
            </w:r>
          </w:p>
        </w:tc>
        <w:tc>
          <w:tcPr>
            <w:tcW w:w="3180" w:type="dxa"/>
          </w:tcPr>
          <w:p w:rsidR="00C6507D" w:rsidP="00ED1274" w:rsidRDefault="00C6507D"/>
          <w:p w:rsidR="00C6507D" w:rsidP="00ED1274" w:rsidRDefault="00096EF8">
            <w:r>
              <w:t>RIM to circulate</w:t>
            </w:r>
            <w:r w:rsidR="00C6507D">
              <w:t xml:space="preserve"> a request</w:t>
            </w:r>
          </w:p>
        </w:tc>
      </w:tr>
      <w:tr w:rsidR="00C6507D" w:rsidTr="00C6507D">
        <w:tc>
          <w:tcPr>
            <w:tcW w:w="2273" w:type="dxa"/>
            <w:vMerge/>
          </w:tcPr>
          <w:p w:rsidR="00C6507D" w:rsidP="00ED1274" w:rsidRDefault="00C6507D"/>
        </w:tc>
        <w:tc>
          <w:tcPr>
            <w:tcW w:w="2303" w:type="dxa"/>
          </w:tcPr>
          <w:p w:rsidR="00C6507D" w:rsidP="00ED1274" w:rsidRDefault="00C6507D"/>
          <w:p w:rsidR="00C6507D" w:rsidP="00ED1274" w:rsidRDefault="00C6507D">
            <w:r>
              <w:t>Completion of COSHH Assessment forms</w:t>
            </w:r>
          </w:p>
        </w:tc>
        <w:tc>
          <w:tcPr>
            <w:tcW w:w="1493" w:type="dxa"/>
          </w:tcPr>
          <w:p w:rsidR="00C6507D" w:rsidP="00ED1274" w:rsidRDefault="00C6507D"/>
          <w:p w:rsidR="00C6507D" w:rsidP="00ED1274" w:rsidRDefault="00D14D84">
            <w:r>
              <w:t xml:space="preserve">RIM &amp; </w:t>
            </w:r>
            <w:r w:rsidR="00C6507D">
              <w:t>H&amp;S</w:t>
            </w:r>
          </w:p>
        </w:tc>
        <w:tc>
          <w:tcPr>
            <w:tcW w:w="3081" w:type="dxa"/>
          </w:tcPr>
          <w:p w:rsidRPr="00583128" w:rsidR="00E11B85" w:rsidP="00E11B85" w:rsidRDefault="00E11B85">
            <w:r>
              <w:t xml:space="preserve">Annually in September for Hazard 3 agents, Torch organisms (Torch - Toxoplasmosis, Paravirus, Syphilis, Rubella, CMV and Herpes Simples Viruses) and people working with </w:t>
            </w:r>
            <w:r>
              <w:rPr>
                <w:i/>
                <w:iCs/>
              </w:rPr>
              <w:t xml:space="preserve">Neisseria meningitidis, Corynebacterium diphtheria, </w:t>
            </w:r>
            <w:r w:rsidRPr="006F7D25">
              <w:rPr>
                <w:i/>
                <w:iCs/>
              </w:rPr>
              <w:t>and</w:t>
            </w:r>
            <w:r>
              <w:rPr>
                <w:i/>
                <w:iCs/>
              </w:rPr>
              <w:t xml:space="preserve"> Bordetella pertussis </w:t>
            </w:r>
            <w:r w:rsidRPr="00583128">
              <w:rPr>
                <w:iCs/>
              </w:rPr>
              <w:t>or where the risk is higher.</w:t>
            </w:r>
          </w:p>
          <w:p w:rsidR="00E11B85" w:rsidP="00E11B85" w:rsidRDefault="00E11B85"/>
          <w:p w:rsidR="00E11B85" w:rsidP="00E11B85" w:rsidRDefault="00E11B85">
            <w:r w:rsidRPr="0076368D">
              <w:t xml:space="preserve">2 years </w:t>
            </w:r>
            <w:r>
              <w:t>for others.</w:t>
            </w:r>
          </w:p>
          <w:p w:rsidR="00C6507D" w:rsidP="00E11B85" w:rsidRDefault="00C6507D"/>
        </w:tc>
        <w:tc>
          <w:tcPr>
            <w:tcW w:w="1618" w:type="dxa"/>
          </w:tcPr>
          <w:p w:rsidR="00C6507D" w:rsidP="00ED1274" w:rsidRDefault="00C6507D"/>
          <w:p w:rsidR="00C6507D" w:rsidP="00ED1274" w:rsidRDefault="00C6507D">
            <w:r>
              <w:t>All Principal Investigators</w:t>
            </w:r>
          </w:p>
        </w:tc>
        <w:tc>
          <w:tcPr>
            <w:tcW w:w="3180" w:type="dxa"/>
          </w:tcPr>
          <w:p w:rsidR="00C6507D" w:rsidP="00ED1274" w:rsidRDefault="00C6507D"/>
          <w:p w:rsidR="00C6507D" w:rsidP="00ED1274" w:rsidRDefault="00096EF8">
            <w:r>
              <w:t>RIM to circulate</w:t>
            </w:r>
            <w:r w:rsidR="00C6507D">
              <w:t xml:space="preserve"> a request</w:t>
            </w:r>
          </w:p>
        </w:tc>
      </w:tr>
      <w:tr w:rsidR="00C6507D" w:rsidTr="00C6507D">
        <w:tc>
          <w:tcPr>
            <w:tcW w:w="2273" w:type="dxa"/>
            <w:vMerge/>
          </w:tcPr>
          <w:p w:rsidR="00C6507D" w:rsidP="00ED1274" w:rsidRDefault="00C6507D"/>
        </w:tc>
        <w:tc>
          <w:tcPr>
            <w:tcW w:w="2303" w:type="dxa"/>
          </w:tcPr>
          <w:p w:rsidR="00C6507D" w:rsidP="00ED1274" w:rsidRDefault="00C6507D"/>
          <w:p w:rsidR="00C6507D" w:rsidP="00ED1274" w:rsidRDefault="00C6507D">
            <w:r>
              <w:t xml:space="preserve">Fire Training </w:t>
            </w:r>
          </w:p>
        </w:tc>
        <w:tc>
          <w:tcPr>
            <w:tcW w:w="1493" w:type="dxa"/>
          </w:tcPr>
          <w:p w:rsidR="00C6507D" w:rsidP="00ED1274" w:rsidRDefault="00C6507D"/>
          <w:p w:rsidR="00C6507D" w:rsidP="00ED1274" w:rsidRDefault="007424BA">
            <w:r>
              <w:t xml:space="preserve">RIM &amp; </w:t>
            </w:r>
            <w:r w:rsidR="00C6507D">
              <w:t>H&amp;S</w:t>
            </w:r>
          </w:p>
        </w:tc>
        <w:tc>
          <w:tcPr>
            <w:tcW w:w="3081" w:type="dxa"/>
          </w:tcPr>
          <w:p w:rsidR="00C6507D" w:rsidP="00ED1274" w:rsidRDefault="00C6507D"/>
          <w:p w:rsidR="00616B64" w:rsidP="00616B64" w:rsidRDefault="00616B64">
            <w:r>
              <w:t>Every 18 – 24 months.</w:t>
            </w:r>
          </w:p>
          <w:p w:rsidR="00616B64" w:rsidP="00616B64" w:rsidRDefault="00616B64">
            <w:r>
              <w:t>Training available twice a year in  January/July in the institute in addition to those provided centrally</w:t>
            </w:r>
          </w:p>
          <w:p w:rsidR="00C6507D" w:rsidP="00ED1274" w:rsidRDefault="00C6507D"/>
        </w:tc>
        <w:tc>
          <w:tcPr>
            <w:tcW w:w="1618" w:type="dxa"/>
          </w:tcPr>
          <w:p w:rsidR="00C6507D" w:rsidP="00ED1274" w:rsidRDefault="00C6507D"/>
          <w:p w:rsidR="00C6507D" w:rsidP="00ED1274" w:rsidRDefault="00C6507D">
            <w:r>
              <w:t>All staff and students</w:t>
            </w:r>
          </w:p>
        </w:tc>
        <w:tc>
          <w:tcPr>
            <w:tcW w:w="3180" w:type="dxa"/>
          </w:tcPr>
          <w:p w:rsidR="00616B64" w:rsidP="00616B64" w:rsidRDefault="00616B64"/>
          <w:p w:rsidR="00C6507D" w:rsidP="00616B64" w:rsidRDefault="00616B64">
            <w:r>
              <w:t>RIM to circulate a request</w:t>
            </w:r>
          </w:p>
        </w:tc>
      </w:tr>
      <w:tr w:rsidR="00C6507D" w:rsidTr="00C6507D">
        <w:tc>
          <w:tcPr>
            <w:tcW w:w="2273" w:type="dxa"/>
            <w:vMerge/>
          </w:tcPr>
          <w:p w:rsidR="00C6507D" w:rsidP="00ED1274" w:rsidRDefault="00C6507D"/>
        </w:tc>
        <w:tc>
          <w:tcPr>
            <w:tcW w:w="2303" w:type="dxa"/>
          </w:tcPr>
          <w:p w:rsidR="00C6507D" w:rsidP="00ED1274" w:rsidRDefault="00C6507D"/>
          <w:p w:rsidR="00C6507D" w:rsidP="00ED1274" w:rsidRDefault="00C6507D">
            <w:r>
              <w:t>Waste Training</w:t>
            </w:r>
          </w:p>
        </w:tc>
        <w:tc>
          <w:tcPr>
            <w:tcW w:w="1493" w:type="dxa"/>
          </w:tcPr>
          <w:p w:rsidR="00C6507D" w:rsidP="00ED1274" w:rsidRDefault="00C6507D"/>
          <w:p w:rsidR="00C6507D" w:rsidP="00ED1274" w:rsidRDefault="007424BA">
            <w:r>
              <w:t xml:space="preserve">RIM &amp; </w:t>
            </w:r>
            <w:r w:rsidR="00C6507D">
              <w:t>H&amp;S</w:t>
            </w:r>
          </w:p>
        </w:tc>
        <w:tc>
          <w:tcPr>
            <w:tcW w:w="3081" w:type="dxa"/>
          </w:tcPr>
          <w:p w:rsidR="00C6507D" w:rsidP="00ED1274" w:rsidRDefault="00C6507D"/>
          <w:p w:rsidR="00BB63C9" w:rsidP="00BB63C9" w:rsidRDefault="00BB63C9">
            <w:r>
              <w:t>Refreshed annually. Training available in March every year in the institute in addition to those provided centrally</w:t>
            </w:r>
          </w:p>
          <w:p w:rsidR="00C6507D" w:rsidP="00ED1274" w:rsidRDefault="00C6507D"/>
        </w:tc>
        <w:tc>
          <w:tcPr>
            <w:tcW w:w="1618" w:type="dxa"/>
          </w:tcPr>
          <w:p w:rsidR="00C6507D" w:rsidP="00ED1274" w:rsidRDefault="00C6507D"/>
          <w:p w:rsidR="00C6507D" w:rsidP="00ED1274" w:rsidRDefault="00C6507D">
            <w:r>
              <w:t>All researchers</w:t>
            </w:r>
          </w:p>
        </w:tc>
        <w:tc>
          <w:tcPr>
            <w:tcW w:w="3180" w:type="dxa"/>
          </w:tcPr>
          <w:p w:rsidR="00C6507D" w:rsidP="00BB63C9" w:rsidRDefault="00C6507D"/>
          <w:p w:rsidR="00BB63C9" w:rsidP="00BB63C9" w:rsidRDefault="00BB63C9">
            <w:r>
              <w:t>RIM to circulate a request</w:t>
            </w:r>
          </w:p>
        </w:tc>
      </w:tr>
      <w:tr w:rsidR="00C6507D" w:rsidTr="00C6507D">
        <w:tc>
          <w:tcPr>
            <w:tcW w:w="2273" w:type="dxa"/>
            <w:vMerge/>
          </w:tcPr>
          <w:p w:rsidR="00C6507D" w:rsidP="00ED1274" w:rsidRDefault="00C6507D"/>
        </w:tc>
        <w:tc>
          <w:tcPr>
            <w:tcW w:w="2303" w:type="dxa"/>
          </w:tcPr>
          <w:p w:rsidR="00C6507D" w:rsidP="00ED1274" w:rsidRDefault="00C6507D"/>
          <w:p w:rsidR="00C6507D" w:rsidP="00ED1274" w:rsidRDefault="00C6507D">
            <w:r>
              <w:t>COSHH Awareness and workshop training</w:t>
            </w:r>
          </w:p>
        </w:tc>
        <w:tc>
          <w:tcPr>
            <w:tcW w:w="1493" w:type="dxa"/>
          </w:tcPr>
          <w:p w:rsidR="00C6507D" w:rsidP="00ED1274" w:rsidRDefault="00C6507D"/>
          <w:p w:rsidR="00C6507D" w:rsidP="00ED1274" w:rsidRDefault="007424BA">
            <w:r>
              <w:t xml:space="preserve">RIM &amp; </w:t>
            </w:r>
            <w:r w:rsidR="00C6507D">
              <w:t>H&amp;S</w:t>
            </w:r>
          </w:p>
        </w:tc>
        <w:tc>
          <w:tcPr>
            <w:tcW w:w="3081" w:type="dxa"/>
          </w:tcPr>
          <w:p w:rsidR="00C6507D" w:rsidP="00ED1274" w:rsidRDefault="00C6507D"/>
          <w:p w:rsidR="00BB63C9" w:rsidP="00BB63C9" w:rsidRDefault="00BB63C9">
            <w:r>
              <w:t>Updated every 2 years</w:t>
            </w:r>
            <w:r w:rsidR="00C43FA9">
              <w:t xml:space="preserve"> </w:t>
            </w:r>
            <w:r>
              <w:t>for COSHH awareness. COSHH workshops can be arranged directly with Colin Sandiford. Training will be available in March every year in the institute in addition to those provided centrally</w:t>
            </w:r>
          </w:p>
          <w:p w:rsidR="00C6507D" w:rsidP="00ED1274" w:rsidRDefault="00C6507D"/>
        </w:tc>
        <w:tc>
          <w:tcPr>
            <w:tcW w:w="1618" w:type="dxa"/>
          </w:tcPr>
          <w:p w:rsidR="00C6507D" w:rsidP="00ED1274" w:rsidRDefault="00C6507D"/>
          <w:p w:rsidR="00C6507D" w:rsidP="00ED1274" w:rsidRDefault="00C6507D">
            <w:r>
              <w:t>All researchers</w:t>
            </w:r>
          </w:p>
        </w:tc>
        <w:tc>
          <w:tcPr>
            <w:tcW w:w="3180" w:type="dxa"/>
          </w:tcPr>
          <w:p w:rsidR="00C6507D" w:rsidP="00BB63C9" w:rsidRDefault="00C6507D"/>
          <w:p w:rsidR="00BB63C9" w:rsidP="00BB63C9" w:rsidRDefault="00BB63C9">
            <w:r>
              <w:t>RIM to circulate a request</w:t>
            </w:r>
          </w:p>
        </w:tc>
      </w:tr>
      <w:tr w:rsidR="00C6507D" w:rsidTr="00C6507D">
        <w:tc>
          <w:tcPr>
            <w:tcW w:w="2273" w:type="dxa"/>
            <w:vMerge/>
          </w:tcPr>
          <w:p w:rsidR="00C6507D" w:rsidP="00ED1274" w:rsidRDefault="00C6507D"/>
        </w:tc>
        <w:tc>
          <w:tcPr>
            <w:tcW w:w="2303" w:type="dxa"/>
          </w:tcPr>
          <w:p w:rsidR="00C6507D" w:rsidP="00ED1274" w:rsidRDefault="00C6507D"/>
          <w:p w:rsidR="00C6507D" w:rsidP="00ED1274" w:rsidRDefault="00BF3F16">
            <w:r>
              <w:t>Display Screen Equipment Self-Assessment C</w:t>
            </w:r>
            <w:r w:rsidR="00C6507D">
              <w:t>hecklist</w:t>
            </w:r>
          </w:p>
        </w:tc>
        <w:tc>
          <w:tcPr>
            <w:tcW w:w="1493" w:type="dxa"/>
          </w:tcPr>
          <w:p w:rsidR="00C6507D" w:rsidP="00ED1274" w:rsidRDefault="00C6507D">
            <w:r>
              <w:t xml:space="preserve">H&amp;S with copies to line manager </w:t>
            </w:r>
          </w:p>
          <w:p w:rsidR="00C6507D" w:rsidP="00ED1274" w:rsidRDefault="00C6507D"/>
        </w:tc>
        <w:tc>
          <w:tcPr>
            <w:tcW w:w="3081" w:type="dxa"/>
          </w:tcPr>
          <w:p w:rsidR="00C6507D" w:rsidP="00ED1274" w:rsidRDefault="00C6507D"/>
          <w:p w:rsidR="00C6507D" w:rsidP="00ED1274" w:rsidRDefault="00A93BFA">
            <w:r>
              <w:t>Annually - May</w:t>
            </w:r>
          </w:p>
          <w:p w:rsidR="00C6507D" w:rsidP="00ED1274" w:rsidRDefault="00C6507D"/>
        </w:tc>
        <w:tc>
          <w:tcPr>
            <w:tcW w:w="1618" w:type="dxa"/>
          </w:tcPr>
          <w:p w:rsidR="00C6507D" w:rsidP="00ED1274" w:rsidRDefault="00C6507D"/>
          <w:p w:rsidR="00C6507D" w:rsidP="00ED1274" w:rsidRDefault="00C6507D">
            <w:r>
              <w:t>All staff and students</w:t>
            </w:r>
          </w:p>
        </w:tc>
        <w:tc>
          <w:tcPr>
            <w:tcW w:w="3180" w:type="dxa"/>
          </w:tcPr>
          <w:p w:rsidR="00C6507D" w:rsidP="00ED1274" w:rsidRDefault="00C6507D"/>
          <w:p w:rsidR="00C6507D" w:rsidP="00ED1274" w:rsidRDefault="00A93BFA">
            <w:r>
              <w:t>Central request. RIM to send out a reminder</w:t>
            </w:r>
          </w:p>
        </w:tc>
      </w:tr>
      <w:tr w:rsidR="00C6507D" w:rsidTr="00C6507D">
        <w:tc>
          <w:tcPr>
            <w:tcW w:w="2273" w:type="dxa"/>
            <w:vMerge/>
          </w:tcPr>
          <w:p w:rsidR="00C6507D" w:rsidP="00ED1274" w:rsidRDefault="00C6507D"/>
        </w:tc>
        <w:tc>
          <w:tcPr>
            <w:tcW w:w="2303" w:type="dxa"/>
          </w:tcPr>
          <w:p w:rsidR="00C6507D" w:rsidP="00ED1274" w:rsidRDefault="00C6507D"/>
          <w:p w:rsidR="00C6507D" w:rsidP="00ED1274" w:rsidRDefault="00C6507D">
            <w:r>
              <w:t>First Aid Boxes</w:t>
            </w:r>
          </w:p>
        </w:tc>
        <w:tc>
          <w:tcPr>
            <w:tcW w:w="1493" w:type="dxa"/>
          </w:tcPr>
          <w:p w:rsidR="00C6507D" w:rsidP="00ED1274" w:rsidRDefault="00C6507D"/>
          <w:p w:rsidR="00C6507D" w:rsidP="00ED1274" w:rsidRDefault="00C6507D">
            <w:r>
              <w:t>H&amp;S</w:t>
            </w:r>
          </w:p>
        </w:tc>
        <w:tc>
          <w:tcPr>
            <w:tcW w:w="3081" w:type="dxa"/>
          </w:tcPr>
          <w:p w:rsidR="00C6507D" w:rsidP="00ED1274" w:rsidRDefault="00C6507D"/>
          <w:p w:rsidR="00A93BFA" w:rsidP="00A93BFA" w:rsidRDefault="00A93BFA">
            <w:r>
              <w:t>Annual reminder - April</w:t>
            </w:r>
          </w:p>
          <w:p w:rsidR="00A93BFA" w:rsidP="00A93BFA" w:rsidRDefault="00A93BFA">
            <w:r>
              <w:t>In addition, area uses to check regularly and submit requests to H&amp;S</w:t>
            </w:r>
          </w:p>
          <w:p w:rsidR="00C6507D" w:rsidP="0076368D" w:rsidRDefault="00C6507D"/>
        </w:tc>
        <w:tc>
          <w:tcPr>
            <w:tcW w:w="1618" w:type="dxa"/>
          </w:tcPr>
          <w:p w:rsidR="00C6507D" w:rsidP="00ED1274" w:rsidRDefault="00C6507D"/>
          <w:p w:rsidR="00C6507D" w:rsidP="00ED1274" w:rsidRDefault="00C6507D">
            <w:r>
              <w:t>All staff and students</w:t>
            </w:r>
          </w:p>
        </w:tc>
        <w:tc>
          <w:tcPr>
            <w:tcW w:w="3180" w:type="dxa"/>
          </w:tcPr>
          <w:p w:rsidR="00C6507D" w:rsidP="00ED1274" w:rsidRDefault="00C6507D"/>
          <w:p w:rsidR="00C6507D" w:rsidP="003C0A95" w:rsidRDefault="003C0A95">
            <w:r>
              <w:t>RIM to send out a reminder</w:t>
            </w:r>
          </w:p>
        </w:tc>
      </w:tr>
      <w:tr w:rsidR="00352119" w:rsidTr="00C6507D">
        <w:trPr>
          <w:trHeight w:val="1331"/>
        </w:trPr>
        <w:tc>
          <w:tcPr>
            <w:tcW w:w="2273" w:type="dxa"/>
            <w:vMerge w:val="restart"/>
          </w:tcPr>
          <w:p w:rsidR="00352119" w:rsidP="00ED1274" w:rsidRDefault="00352119"/>
          <w:p w:rsidR="00352119" w:rsidP="00ED1274" w:rsidRDefault="00352119">
            <w:r>
              <w:t>Human Resources</w:t>
            </w:r>
          </w:p>
          <w:p w:rsidR="00352119" w:rsidP="00ED1274" w:rsidRDefault="00352119"/>
          <w:p w:rsidR="00352119" w:rsidP="00ED1274" w:rsidRDefault="00352119"/>
        </w:tc>
        <w:tc>
          <w:tcPr>
            <w:tcW w:w="2303" w:type="dxa"/>
          </w:tcPr>
          <w:p w:rsidR="00352119" w:rsidP="00ED1274" w:rsidRDefault="00352119"/>
          <w:p w:rsidR="00352119" w:rsidP="00ED1274" w:rsidRDefault="00352119">
            <w:r>
              <w:t>Personal Reviews</w:t>
            </w:r>
          </w:p>
        </w:tc>
        <w:tc>
          <w:tcPr>
            <w:tcW w:w="1493" w:type="dxa"/>
          </w:tcPr>
          <w:p w:rsidR="00352119" w:rsidP="00ED1274" w:rsidRDefault="00352119"/>
          <w:p w:rsidR="00352119" w:rsidP="00ED1274" w:rsidRDefault="00352119">
            <w:r>
              <w:t>Online submission</w:t>
            </w:r>
          </w:p>
        </w:tc>
        <w:tc>
          <w:tcPr>
            <w:tcW w:w="3081" w:type="dxa"/>
          </w:tcPr>
          <w:p w:rsidR="00352119" w:rsidP="00ED1274" w:rsidRDefault="00352119"/>
          <w:p w:rsidR="00352119" w:rsidP="00ED1274" w:rsidRDefault="00352119">
            <w:r>
              <w:t>Annually – November</w:t>
            </w:r>
          </w:p>
          <w:p w:rsidR="00352119" w:rsidP="00ED1274" w:rsidRDefault="00352119">
            <w:r>
              <w:t xml:space="preserve">Annual review within 12 months of review date </w:t>
            </w:r>
          </w:p>
        </w:tc>
        <w:tc>
          <w:tcPr>
            <w:tcW w:w="1618" w:type="dxa"/>
          </w:tcPr>
          <w:p w:rsidR="00352119" w:rsidP="00ED1274" w:rsidRDefault="00352119"/>
          <w:p w:rsidR="00352119" w:rsidP="0040139D" w:rsidRDefault="00352119">
            <w:r>
              <w:t>All staff</w:t>
            </w:r>
          </w:p>
        </w:tc>
        <w:tc>
          <w:tcPr>
            <w:tcW w:w="3180" w:type="dxa"/>
          </w:tcPr>
          <w:p w:rsidR="00352119" w:rsidP="00ED1274" w:rsidRDefault="00352119"/>
          <w:p w:rsidR="00352119" w:rsidP="00ED1274" w:rsidRDefault="00352119">
            <w:r>
              <w:t>RIM to send out a request.</w:t>
            </w:r>
          </w:p>
          <w:p w:rsidR="00352119" w:rsidP="00465388" w:rsidRDefault="00352119">
            <w:r>
              <w:t>For new staff, PRs will be after 6 months following the completion of their probation.</w:t>
            </w:r>
          </w:p>
          <w:p w:rsidR="00352119" w:rsidP="00ED1274" w:rsidRDefault="00352119"/>
        </w:tc>
      </w:tr>
      <w:tr w:rsidR="00352119" w:rsidTr="00C6507D">
        <w:tc>
          <w:tcPr>
            <w:tcW w:w="2273" w:type="dxa"/>
            <w:vMerge/>
          </w:tcPr>
          <w:p w:rsidR="00352119" w:rsidP="00ED1274" w:rsidRDefault="00352119"/>
        </w:tc>
        <w:tc>
          <w:tcPr>
            <w:tcW w:w="2303" w:type="dxa"/>
          </w:tcPr>
          <w:p w:rsidR="00352119" w:rsidP="00ED1274" w:rsidRDefault="00352119"/>
          <w:p w:rsidR="00352119" w:rsidP="00ED1274" w:rsidRDefault="00352119">
            <w:r>
              <w:t>Diversity in the Workplace</w:t>
            </w:r>
          </w:p>
          <w:p w:rsidR="00DF0C9D" w:rsidP="00ED1274" w:rsidRDefault="00DF0C9D">
            <w:r>
              <w:t xml:space="preserve">Link </w:t>
            </w:r>
            <w:hyperlink w:history="1" r:id="rId6">
              <w:r w:rsidRPr="00DF0C9D">
                <w:rPr>
                  <w:rStyle w:val="Hyperlink"/>
                </w:rPr>
                <w:t>here</w:t>
              </w:r>
            </w:hyperlink>
          </w:p>
          <w:p w:rsidR="00352119" w:rsidP="00ED1274" w:rsidRDefault="00352119"/>
        </w:tc>
        <w:tc>
          <w:tcPr>
            <w:tcW w:w="1493" w:type="dxa"/>
          </w:tcPr>
          <w:p w:rsidR="00352119" w:rsidP="00ED1274" w:rsidRDefault="00352119"/>
          <w:p w:rsidR="00352119" w:rsidP="00ED1274" w:rsidRDefault="00352119">
            <w:r>
              <w:t>Online module</w:t>
            </w:r>
          </w:p>
        </w:tc>
        <w:tc>
          <w:tcPr>
            <w:tcW w:w="3081" w:type="dxa"/>
          </w:tcPr>
          <w:p w:rsidR="00352119" w:rsidP="00ED1274" w:rsidRDefault="00352119"/>
          <w:p w:rsidR="00352119" w:rsidP="00ED1274" w:rsidRDefault="00352119">
            <w:r>
              <w:t>Once in employment</w:t>
            </w:r>
          </w:p>
        </w:tc>
        <w:tc>
          <w:tcPr>
            <w:tcW w:w="1618" w:type="dxa"/>
          </w:tcPr>
          <w:p w:rsidR="00352119" w:rsidP="00ED1274" w:rsidRDefault="00352119"/>
          <w:p w:rsidR="00352119" w:rsidP="00ED1274" w:rsidRDefault="00352119">
            <w:r>
              <w:t>All new staff</w:t>
            </w:r>
          </w:p>
        </w:tc>
        <w:tc>
          <w:tcPr>
            <w:tcW w:w="3180" w:type="dxa"/>
          </w:tcPr>
          <w:p w:rsidR="00352119" w:rsidP="00ED1274" w:rsidRDefault="00352119"/>
          <w:p w:rsidR="00352119" w:rsidP="00ED1274" w:rsidRDefault="00774CA4">
            <w:r>
              <w:t>HR will inform</w:t>
            </w:r>
          </w:p>
        </w:tc>
      </w:tr>
      <w:tr w:rsidR="00352119" w:rsidTr="00C6507D">
        <w:tc>
          <w:tcPr>
            <w:tcW w:w="2273" w:type="dxa"/>
            <w:vMerge/>
          </w:tcPr>
          <w:p w:rsidR="00352119" w:rsidP="00ED1274" w:rsidRDefault="00352119"/>
        </w:tc>
        <w:tc>
          <w:tcPr>
            <w:tcW w:w="2303" w:type="dxa"/>
          </w:tcPr>
          <w:p w:rsidR="00352119" w:rsidP="00ED1274" w:rsidRDefault="00352119"/>
          <w:p w:rsidR="00352119" w:rsidP="00ED1274" w:rsidRDefault="00352119">
            <w:r>
              <w:t>Unconscious Bias</w:t>
            </w:r>
          </w:p>
          <w:p w:rsidR="00352119" w:rsidP="00ED1274" w:rsidRDefault="002A359A">
            <w:r>
              <w:t xml:space="preserve">Link </w:t>
            </w:r>
            <w:hyperlink w:history="1" r:id="rId7">
              <w:r w:rsidRPr="002A359A">
                <w:rPr>
                  <w:rStyle w:val="Hyperlink"/>
                </w:rPr>
                <w:t>here</w:t>
              </w:r>
            </w:hyperlink>
          </w:p>
        </w:tc>
        <w:tc>
          <w:tcPr>
            <w:tcW w:w="1493" w:type="dxa"/>
          </w:tcPr>
          <w:p w:rsidR="00352119" w:rsidP="00ED1274" w:rsidRDefault="00352119"/>
          <w:p w:rsidR="00352119" w:rsidP="00ED1274" w:rsidRDefault="00352119">
            <w:r>
              <w:t>Online</w:t>
            </w:r>
          </w:p>
        </w:tc>
        <w:tc>
          <w:tcPr>
            <w:tcW w:w="3081" w:type="dxa"/>
          </w:tcPr>
          <w:p w:rsidR="00352119" w:rsidP="00ED1274" w:rsidRDefault="00352119"/>
          <w:p w:rsidR="00352119" w:rsidP="00ED1274" w:rsidRDefault="00352119">
            <w:r>
              <w:t>Every 2/3 years</w:t>
            </w:r>
            <w:r w:rsidR="005458EC">
              <w:t xml:space="preserve"> - June</w:t>
            </w:r>
          </w:p>
        </w:tc>
        <w:tc>
          <w:tcPr>
            <w:tcW w:w="1618" w:type="dxa"/>
          </w:tcPr>
          <w:p w:rsidR="00352119" w:rsidP="00ED1274" w:rsidRDefault="00352119"/>
          <w:p w:rsidR="00352119" w:rsidP="00ED1274" w:rsidRDefault="00352119">
            <w:r>
              <w:t>Primarily for managers</w:t>
            </w:r>
          </w:p>
          <w:p w:rsidR="00352119" w:rsidP="00ED1274" w:rsidRDefault="00352119"/>
        </w:tc>
        <w:tc>
          <w:tcPr>
            <w:tcW w:w="3180" w:type="dxa"/>
          </w:tcPr>
          <w:p w:rsidR="00352119" w:rsidP="00ED1274" w:rsidRDefault="00352119"/>
          <w:p w:rsidR="00774CA4" w:rsidP="00096EF8" w:rsidRDefault="00774CA4">
            <w:r>
              <w:t>RIM to send a reminder</w:t>
            </w:r>
          </w:p>
        </w:tc>
      </w:tr>
      <w:tr w:rsidR="00952581" w:rsidTr="00C6507D">
        <w:tc>
          <w:tcPr>
            <w:tcW w:w="2273" w:type="dxa"/>
          </w:tcPr>
          <w:p w:rsidR="00952581" w:rsidP="00ED1274" w:rsidRDefault="00952581">
            <w:r>
              <w:t>Teaching</w:t>
            </w:r>
          </w:p>
          <w:p w:rsidR="00952581" w:rsidP="00ED1274" w:rsidRDefault="00952581"/>
        </w:tc>
        <w:tc>
          <w:tcPr>
            <w:tcW w:w="2303" w:type="dxa"/>
          </w:tcPr>
          <w:p w:rsidR="00952581" w:rsidP="00ED1274" w:rsidRDefault="00952581">
            <w:r>
              <w:t>All staff undertaking teaching to complete the Teaching Diary</w:t>
            </w:r>
          </w:p>
          <w:p w:rsidR="00952581" w:rsidP="00ED1274" w:rsidRDefault="00952581"/>
        </w:tc>
        <w:tc>
          <w:tcPr>
            <w:tcW w:w="1493" w:type="dxa"/>
          </w:tcPr>
          <w:p w:rsidR="00952581" w:rsidP="00ED1274" w:rsidRDefault="00952581">
            <w:r>
              <w:t xml:space="preserve">Online </w:t>
            </w:r>
          </w:p>
        </w:tc>
        <w:tc>
          <w:tcPr>
            <w:tcW w:w="3081" w:type="dxa"/>
          </w:tcPr>
          <w:p w:rsidR="00952581" w:rsidP="00ED1274" w:rsidRDefault="00952581">
            <w:r>
              <w:t>Annually – To be completed by 31</w:t>
            </w:r>
            <w:r w:rsidRPr="00661E29">
              <w:rPr>
                <w:vertAlign w:val="superscript"/>
              </w:rPr>
              <w:t>st</w:t>
            </w:r>
            <w:r>
              <w:t xml:space="preserve"> July</w:t>
            </w:r>
          </w:p>
        </w:tc>
        <w:tc>
          <w:tcPr>
            <w:tcW w:w="1618" w:type="dxa"/>
          </w:tcPr>
          <w:p w:rsidR="00952581" w:rsidP="00ED1274" w:rsidRDefault="00952581">
            <w:r>
              <w:t>All staff doing teaching</w:t>
            </w:r>
          </w:p>
        </w:tc>
        <w:tc>
          <w:tcPr>
            <w:tcW w:w="3180" w:type="dxa"/>
          </w:tcPr>
          <w:p w:rsidR="00952581" w:rsidP="00ED1274" w:rsidRDefault="00952581">
            <w:r>
              <w:t>This information informs teaching income to the institute which forms a large element of our income</w:t>
            </w:r>
          </w:p>
        </w:tc>
      </w:tr>
      <w:tr w:rsidR="000737C3" w:rsidTr="00C6507D">
        <w:tc>
          <w:tcPr>
            <w:tcW w:w="2273" w:type="dxa"/>
            <w:vMerge w:val="restart"/>
          </w:tcPr>
          <w:p w:rsidR="000737C3" w:rsidP="00AE1639" w:rsidRDefault="000737C3">
            <w:pPr>
              <w:jc w:val="center"/>
            </w:pPr>
          </w:p>
          <w:p w:rsidR="000737C3" w:rsidP="00ED1274" w:rsidRDefault="000737C3">
            <w:r>
              <w:t>Information Governance</w:t>
            </w:r>
          </w:p>
        </w:tc>
        <w:tc>
          <w:tcPr>
            <w:tcW w:w="2303" w:type="dxa"/>
          </w:tcPr>
          <w:p w:rsidR="000737C3" w:rsidP="00AE1639" w:rsidRDefault="000737C3">
            <w:pPr>
              <w:jc w:val="center"/>
            </w:pPr>
          </w:p>
          <w:p w:rsidR="000737C3" w:rsidP="00ED1274" w:rsidRDefault="000737C3">
            <w:r>
              <w:t>Data Awareness Training (IG Toolkit)</w:t>
            </w:r>
          </w:p>
          <w:p w:rsidR="00C25563" w:rsidP="00ED1274" w:rsidRDefault="00C25563"/>
        </w:tc>
        <w:tc>
          <w:tcPr>
            <w:tcW w:w="1493" w:type="dxa"/>
          </w:tcPr>
          <w:p w:rsidR="000737C3" w:rsidP="00ED1274" w:rsidRDefault="000737C3"/>
          <w:p w:rsidR="000737C3" w:rsidP="00952581" w:rsidRDefault="000737C3">
            <w:r>
              <w:t>Online submission</w:t>
            </w:r>
          </w:p>
        </w:tc>
        <w:tc>
          <w:tcPr>
            <w:tcW w:w="3081" w:type="dxa"/>
          </w:tcPr>
          <w:p w:rsidR="000737C3" w:rsidP="00ED1274" w:rsidRDefault="000737C3"/>
          <w:p w:rsidR="000737C3" w:rsidP="00ED1274" w:rsidRDefault="000737C3">
            <w:r>
              <w:t>Annually – January to February</w:t>
            </w:r>
          </w:p>
        </w:tc>
        <w:tc>
          <w:tcPr>
            <w:tcW w:w="1618" w:type="dxa"/>
          </w:tcPr>
          <w:p w:rsidR="000737C3" w:rsidP="00ED1274" w:rsidRDefault="000737C3"/>
          <w:p w:rsidR="000737C3" w:rsidP="00ED1274" w:rsidRDefault="000737C3">
            <w:r>
              <w:t>All staff</w:t>
            </w:r>
          </w:p>
        </w:tc>
        <w:tc>
          <w:tcPr>
            <w:tcW w:w="3180" w:type="dxa"/>
          </w:tcPr>
          <w:p w:rsidR="000737C3" w:rsidP="00ED1274" w:rsidRDefault="000737C3"/>
          <w:p w:rsidR="000737C3" w:rsidP="00ED1274" w:rsidRDefault="000737C3">
            <w:r>
              <w:t>Information Asset</w:t>
            </w:r>
            <w:r w:rsidR="00FC5DBD">
              <w:t xml:space="preserve"> Owner to circulate request</w:t>
            </w:r>
          </w:p>
        </w:tc>
      </w:tr>
      <w:tr w:rsidR="000737C3" w:rsidTr="00C6507D">
        <w:tc>
          <w:tcPr>
            <w:tcW w:w="2273" w:type="dxa"/>
            <w:vMerge/>
          </w:tcPr>
          <w:p w:rsidR="000737C3" w:rsidP="000737C3" w:rsidRDefault="000737C3"/>
        </w:tc>
        <w:tc>
          <w:tcPr>
            <w:tcW w:w="2303" w:type="dxa"/>
          </w:tcPr>
          <w:p w:rsidR="000737C3" w:rsidP="00AE1639" w:rsidRDefault="000737C3">
            <w:pPr>
              <w:jc w:val="center"/>
            </w:pPr>
          </w:p>
          <w:p w:rsidR="000737C3" w:rsidP="00964236" w:rsidRDefault="000737C3">
            <w:r>
              <w:t>IG Spot Checks</w:t>
            </w:r>
          </w:p>
        </w:tc>
        <w:tc>
          <w:tcPr>
            <w:tcW w:w="1493" w:type="dxa"/>
          </w:tcPr>
          <w:p w:rsidR="000737C3" w:rsidP="00ED1274" w:rsidRDefault="000737C3"/>
          <w:p w:rsidR="000737C3" w:rsidP="00ED1274" w:rsidRDefault="000737C3">
            <w:r>
              <w:t>N/a</w:t>
            </w:r>
          </w:p>
        </w:tc>
        <w:tc>
          <w:tcPr>
            <w:tcW w:w="3081" w:type="dxa"/>
          </w:tcPr>
          <w:p w:rsidR="000737C3" w:rsidP="00ED1274" w:rsidRDefault="000737C3"/>
          <w:p w:rsidR="000737C3" w:rsidP="00ED1274" w:rsidRDefault="000737C3">
            <w:r>
              <w:t>Everyday</w:t>
            </w:r>
          </w:p>
          <w:p w:rsidR="000737C3" w:rsidP="00ED1274" w:rsidRDefault="000737C3">
            <w:r>
              <w:t>Compliance audit carried out annually at various times of the year</w:t>
            </w:r>
          </w:p>
        </w:tc>
        <w:tc>
          <w:tcPr>
            <w:tcW w:w="1618" w:type="dxa"/>
          </w:tcPr>
          <w:p w:rsidR="000737C3" w:rsidP="00ED1274" w:rsidRDefault="000737C3"/>
          <w:p w:rsidR="000737C3" w:rsidP="00ED1274" w:rsidRDefault="000737C3">
            <w:r>
              <w:t>All staff</w:t>
            </w:r>
          </w:p>
        </w:tc>
        <w:tc>
          <w:tcPr>
            <w:tcW w:w="3180" w:type="dxa"/>
          </w:tcPr>
          <w:p w:rsidR="000737C3" w:rsidP="00ED1274" w:rsidRDefault="000737C3"/>
          <w:p w:rsidR="000737C3" w:rsidP="00ED1274" w:rsidRDefault="000737C3">
            <w:r>
              <w:t>Compliance audit will inform relevant people where improvements required</w:t>
            </w:r>
          </w:p>
        </w:tc>
      </w:tr>
      <w:tr w:rsidR="00952581" w:rsidTr="00665153">
        <w:trPr>
          <w:trHeight w:val="547"/>
        </w:trPr>
        <w:tc>
          <w:tcPr>
            <w:tcW w:w="2273" w:type="dxa"/>
          </w:tcPr>
          <w:p w:rsidR="00952581" w:rsidP="00AE1639" w:rsidRDefault="00952581">
            <w:pPr>
              <w:jc w:val="center"/>
            </w:pPr>
          </w:p>
          <w:p w:rsidR="000737C3" w:rsidP="000737C3" w:rsidRDefault="000737C3">
            <w:r>
              <w:t>Time Allocation Survey (TAS)</w:t>
            </w:r>
          </w:p>
          <w:p w:rsidR="000737C3" w:rsidP="00AE1639" w:rsidRDefault="000737C3">
            <w:pPr>
              <w:jc w:val="center"/>
            </w:pPr>
          </w:p>
        </w:tc>
        <w:tc>
          <w:tcPr>
            <w:tcW w:w="2303" w:type="dxa"/>
          </w:tcPr>
          <w:p w:rsidR="00952581" w:rsidP="00ED1274" w:rsidRDefault="00952581"/>
          <w:p w:rsidR="00952581" w:rsidP="00ED1274" w:rsidRDefault="00952581">
            <w:r>
              <w:t>Completion of TAS forms for research and teaching</w:t>
            </w:r>
          </w:p>
          <w:p w:rsidR="00952581" w:rsidP="00AE1639" w:rsidRDefault="00952581">
            <w:pPr>
              <w:jc w:val="center"/>
            </w:pPr>
          </w:p>
        </w:tc>
        <w:tc>
          <w:tcPr>
            <w:tcW w:w="1493" w:type="dxa"/>
          </w:tcPr>
          <w:p w:rsidR="00952581" w:rsidP="00ED1274" w:rsidRDefault="00952581"/>
          <w:p w:rsidR="00952581" w:rsidP="00ED1274" w:rsidRDefault="00952581">
            <w:r>
              <w:t>Online submission</w:t>
            </w:r>
          </w:p>
        </w:tc>
        <w:tc>
          <w:tcPr>
            <w:tcW w:w="3081" w:type="dxa"/>
          </w:tcPr>
          <w:p w:rsidR="00952581" w:rsidP="00ED1274" w:rsidRDefault="00952581"/>
          <w:p w:rsidR="00952581" w:rsidP="005A2651" w:rsidRDefault="00952581">
            <w:r>
              <w:t>Annually - October</w:t>
            </w:r>
          </w:p>
        </w:tc>
        <w:tc>
          <w:tcPr>
            <w:tcW w:w="1618" w:type="dxa"/>
          </w:tcPr>
          <w:p w:rsidR="00952581" w:rsidP="00ED1274" w:rsidRDefault="00952581"/>
          <w:p w:rsidR="00952581" w:rsidP="00ED1274" w:rsidRDefault="00952581">
            <w:r>
              <w:t xml:space="preserve">SGUL funded academic staff and research staff who </w:t>
            </w:r>
            <w:r>
              <w:lastRenderedPageBreak/>
              <w:t>contribute to teaching</w:t>
            </w:r>
          </w:p>
        </w:tc>
        <w:tc>
          <w:tcPr>
            <w:tcW w:w="3180" w:type="dxa"/>
          </w:tcPr>
          <w:p w:rsidR="00952581" w:rsidP="00ED1274" w:rsidRDefault="00952581"/>
          <w:p w:rsidR="00952581" w:rsidP="00317B46" w:rsidRDefault="00FC5DBD">
            <w:r>
              <w:t xml:space="preserve">Following </w:t>
            </w:r>
            <w:r w:rsidR="00317B46">
              <w:t>instruction from finance</w:t>
            </w:r>
            <w:r>
              <w:t>, RIM to circulate</w:t>
            </w:r>
            <w:r w:rsidR="00952581">
              <w:t xml:space="preserve"> a request</w:t>
            </w:r>
          </w:p>
        </w:tc>
      </w:tr>
      <w:tr w:rsidR="00952581" w:rsidTr="00C6507D">
        <w:tc>
          <w:tcPr>
            <w:tcW w:w="2273" w:type="dxa"/>
          </w:tcPr>
          <w:p w:rsidR="00952581" w:rsidP="00ED1274" w:rsidRDefault="00952581"/>
          <w:p w:rsidR="00952581" w:rsidP="00ED1274" w:rsidRDefault="00952581">
            <w:r>
              <w:t xml:space="preserve">Research Fish </w:t>
            </w:r>
          </w:p>
          <w:p w:rsidR="00952581" w:rsidP="00ED1274" w:rsidRDefault="00952581"/>
        </w:tc>
        <w:tc>
          <w:tcPr>
            <w:tcW w:w="2303" w:type="dxa"/>
          </w:tcPr>
          <w:p w:rsidR="00952581" w:rsidP="00ED1274" w:rsidRDefault="00952581"/>
          <w:p w:rsidR="00952581" w:rsidP="00ED1274" w:rsidRDefault="00952581">
            <w:r>
              <w:t>Submissions for research grant outcomes</w:t>
            </w:r>
          </w:p>
        </w:tc>
        <w:tc>
          <w:tcPr>
            <w:tcW w:w="1493" w:type="dxa"/>
          </w:tcPr>
          <w:p w:rsidR="00952581" w:rsidP="00ED1274" w:rsidRDefault="00952581"/>
          <w:p w:rsidR="00952581" w:rsidP="00ED1274" w:rsidRDefault="00952581">
            <w:r>
              <w:t>Online submission</w:t>
            </w:r>
          </w:p>
        </w:tc>
        <w:tc>
          <w:tcPr>
            <w:tcW w:w="3081" w:type="dxa"/>
          </w:tcPr>
          <w:p w:rsidR="00952581" w:rsidP="00ED1274" w:rsidRDefault="00952581"/>
          <w:p w:rsidR="00952581" w:rsidP="00ED1274" w:rsidRDefault="00952581">
            <w:r>
              <w:t>Annually – around mid-March</w:t>
            </w:r>
          </w:p>
        </w:tc>
        <w:tc>
          <w:tcPr>
            <w:tcW w:w="1618" w:type="dxa"/>
          </w:tcPr>
          <w:p w:rsidR="00952581" w:rsidP="00ED1274" w:rsidRDefault="00952581"/>
          <w:p w:rsidR="00952581" w:rsidP="00ED1274" w:rsidRDefault="00952581">
            <w:r>
              <w:t>Research staff with grants from UKRI, NIHR and specific other funders</w:t>
            </w:r>
          </w:p>
        </w:tc>
        <w:tc>
          <w:tcPr>
            <w:tcW w:w="3180" w:type="dxa"/>
          </w:tcPr>
          <w:p w:rsidR="00952581" w:rsidP="00ED1274" w:rsidRDefault="00952581"/>
          <w:p w:rsidR="00952581" w:rsidP="00ED1274" w:rsidRDefault="00952581">
            <w:r>
              <w:t>JRES to circulate request.</w:t>
            </w:r>
          </w:p>
        </w:tc>
      </w:tr>
      <w:tr w:rsidR="00952581" w:rsidTr="00C6507D">
        <w:tc>
          <w:tcPr>
            <w:tcW w:w="2273" w:type="dxa"/>
          </w:tcPr>
          <w:p w:rsidR="00952581" w:rsidP="00ED1274" w:rsidRDefault="00952581"/>
          <w:p w:rsidR="00952581" w:rsidP="00ED1274" w:rsidRDefault="00952581">
            <w:r>
              <w:t xml:space="preserve">Depositing peer –reviewed accepted manuscripts </w:t>
            </w:r>
          </w:p>
          <w:p w:rsidR="00952581" w:rsidP="00ED1274" w:rsidRDefault="00952581"/>
        </w:tc>
        <w:tc>
          <w:tcPr>
            <w:tcW w:w="2303" w:type="dxa"/>
          </w:tcPr>
          <w:p w:rsidR="00952581" w:rsidP="00ED1274" w:rsidRDefault="00952581"/>
          <w:p w:rsidR="00952581" w:rsidP="00ED1274" w:rsidRDefault="00952581">
            <w:r>
              <w:t>Depositing peer-reviewed accepted version in SORA/CRIS</w:t>
            </w:r>
          </w:p>
        </w:tc>
        <w:tc>
          <w:tcPr>
            <w:tcW w:w="1493" w:type="dxa"/>
          </w:tcPr>
          <w:p w:rsidR="00952581" w:rsidP="00ED1274" w:rsidRDefault="00952581"/>
          <w:p w:rsidR="00952581" w:rsidP="00ED1274" w:rsidRDefault="00952581">
            <w:r>
              <w:t>Online submission</w:t>
            </w:r>
          </w:p>
        </w:tc>
        <w:tc>
          <w:tcPr>
            <w:tcW w:w="3081" w:type="dxa"/>
          </w:tcPr>
          <w:p w:rsidR="00952581" w:rsidP="00ED1274" w:rsidRDefault="00952581"/>
          <w:p w:rsidR="00952581" w:rsidP="00ED1274" w:rsidRDefault="00952581">
            <w:r>
              <w:t xml:space="preserve">Regularly and within 3 months of acceptance </w:t>
            </w:r>
          </w:p>
        </w:tc>
        <w:tc>
          <w:tcPr>
            <w:tcW w:w="1618" w:type="dxa"/>
          </w:tcPr>
          <w:p w:rsidR="00952581" w:rsidP="00ED1274" w:rsidRDefault="00952581"/>
          <w:p w:rsidR="00DE7165" w:rsidP="00ED1274" w:rsidRDefault="00952581">
            <w:r>
              <w:t>All researchers with research articles</w:t>
            </w:r>
          </w:p>
        </w:tc>
        <w:tc>
          <w:tcPr>
            <w:tcW w:w="3180" w:type="dxa"/>
          </w:tcPr>
          <w:p w:rsidR="00952581" w:rsidP="00ED1274" w:rsidRDefault="00952581"/>
          <w:p w:rsidR="00952581" w:rsidP="00ED1274" w:rsidRDefault="0044651B">
            <w:r>
              <w:t>RIM and library to circulate reminders</w:t>
            </w:r>
          </w:p>
        </w:tc>
      </w:tr>
    </w:tbl>
    <w:p w:rsidR="00C25563" w:rsidP="00DE7165" w:rsidRDefault="00C25563">
      <w:pPr>
        <w:spacing w:after="0"/>
        <w:rPr>
          <w:b/>
        </w:rPr>
      </w:pPr>
    </w:p>
    <w:p w:rsidRPr="00AD246A" w:rsidR="003E6FCC" w:rsidP="00DE7165" w:rsidRDefault="00917A3C">
      <w:pPr>
        <w:spacing w:after="0"/>
        <w:rPr>
          <w:b/>
        </w:rPr>
      </w:pPr>
      <w:r>
        <w:rPr>
          <w:b/>
        </w:rPr>
        <w:t>Abbreviations</w:t>
      </w:r>
      <w:r w:rsidRPr="00AD246A" w:rsidR="00AD246A">
        <w:rPr>
          <w:b/>
        </w:rPr>
        <w:t>:</w:t>
      </w:r>
      <w:r w:rsidR="00AD246A">
        <w:rPr>
          <w:b/>
        </w:rPr>
        <w:t xml:space="preserve"> </w:t>
      </w:r>
      <w:r w:rsidR="00C516F2">
        <w:t>Information Asset Owner is Julian Ma</w:t>
      </w:r>
      <w:r>
        <w:t xml:space="preserve">; </w:t>
      </w:r>
      <w:r w:rsidR="00774CA4">
        <w:t>RIM is Melanie Monteiro; H&amp;S contact is Colin Sandiford</w:t>
      </w:r>
    </w:p>
    <w:p w:rsidR="00C25563" w:rsidP="00DE7165" w:rsidRDefault="00C25563">
      <w:pPr>
        <w:spacing w:after="0"/>
      </w:pPr>
    </w:p>
    <w:p w:rsidR="009511EC" w:rsidP="00DE7165" w:rsidRDefault="009511EC">
      <w:pPr>
        <w:spacing w:after="0"/>
      </w:pPr>
      <w:r>
        <w:t>Melanie Monteiro, Research Institute Manager</w:t>
      </w:r>
      <w:r w:rsidR="003D1F8B">
        <w:t xml:space="preserve">, </w:t>
      </w:r>
      <w:r>
        <w:t>March 2019</w:t>
      </w:r>
    </w:p>
    <w:sectPr w:rsidR="009511EC" w:rsidSect="003E6FC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FCC"/>
    <w:rsid w:val="000737C3"/>
    <w:rsid w:val="00096EF8"/>
    <w:rsid w:val="000A7805"/>
    <w:rsid w:val="000B610A"/>
    <w:rsid w:val="002467A3"/>
    <w:rsid w:val="00284FDD"/>
    <w:rsid w:val="002916F0"/>
    <w:rsid w:val="002A359A"/>
    <w:rsid w:val="002D084E"/>
    <w:rsid w:val="002E4E35"/>
    <w:rsid w:val="003021D7"/>
    <w:rsid w:val="003051BF"/>
    <w:rsid w:val="00317B46"/>
    <w:rsid w:val="00352119"/>
    <w:rsid w:val="00372220"/>
    <w:rsid w:val="003B5A4E"/>
    <w:rsid w:val="003C0A95"/>
    <w:rsid w:val="003D1F8B"/>
    <w:rsid w:val="003E6FCC"/>
    <w:rsid w:val="0040139D"/>
    <w:rsid w:val="004163E5"/>
    <w:rsid w:val="0044651B"/>
    <w:rsid w:val="00453E50"/>
    <w:rsid w:val="00465388"/>
    <w:rsid w:val="004A2AB8"/>
    <w:rsid w:val="004A7E8A"/>
    <w:rsid w:val="005458EC"/>
    <w:rsid w:val="005A2651"/>
    <w:rsid w:val="005B68EC"/>
    <w:rsid w:val="0061065D"/>
    <w:rsid w:val="00616B64"/>
    <w:rsid w:val="0067244E"/>
    <w:rsid w:val="00697E54"/>
    <w:rsid w:val="006B470E"/>
    <w:rsid w:val="006F6FE0"/>
    <w:rsid w:val="007424BA"/>
    <w:rsid w:val="0076368D"/>
    <w:rsid w:val="00767519"/>
    <w:rsid w:val="00771DA6"/>
    <w:rsid w:val="0077459B"/>
    <w:rsid w:val="00774CA4"/>
    <w:rsid w:val="007A17BA"/>
    <w:rsid w:val="008F5136"/>
    <w:rsid w:val="00917A3C"/>
    <w:rsid w:val="00947F14"/>
    <w:rsid w:val="009511EC"/>
    <w:rsid w:val="00952581"/>
    <w:rsid w:val="00964236"/>
    <w:rsid w:val="00A31082"/>
    <w:rsid w:val="00A62EA3"/>
    <w:rsid w:val="00A93BFA"/>
    <w:rsid w:val="00AD20CE"/>
    <w:rsid w:val="00AD246A"/>
    <w:rsid w:val="00AE1639"/>
    <w:rsid w:val="00B12A38"/>
    <w:rsid w:val="00B452C9"/>
    <w:rsid w:val="00B7605E"/>
    <w:rsid w:val="00BB63C9"/>
    <w:rsid w:val="00BF29F9"/>
    <w:rsid w:val="00BF3F16"/>
    <w:rsid w:val="00BF7906"/>
    <w:rsid w:val="00C25563"/>
    <w:rsid w:val="00C43FA9"/>
    <w:rsid w:val="00C47921"/>
    <w:rsid w:val="00C516F2"/>
    <w:rsid w:val="00C6507D"/>
    <w:rsid w:val="00CB76D1"/>
    <w:rsid w:val="00D14D84"/>
    <w:rsid w:val="00D86F28"/>
    <w:rsid w:val="00DE7165"/>
    <w:rsid w:val="00DF0C9D"/>
    <w:rsid w:val="00E11B85"/>
    <w:rsid w:val="00E3444F"/>
    <w:rsid w:val="00E75E15"/>
    <w:rsid w:val="00E84123"/>
    <w:rsid w:val="00EA5F2C"/>
    <w:rsid w:val="00F14C65"/>
    <w:rsid w:val="00F81661"/>
    <w:rsid w:val="00F87B78"/>
    <w:rsid w:val="00FC5DBD"/>
    <w:rsid w:val="00FC6336"/>
    <w:rsid w:val="00FC6EDA"/>
    <w:rsid w:val="00FF7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B47D3-2168-4D6F-8103-41AC8F4B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F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6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59A"/>
    <w:rPr>
      <w:color w:val="0563C1" w:themeColor="hyperlink"/>
      <w:u w:val="single"/>
    </w:rPr>
  </w:style>
  <w:style w:type="character" w:styleId="FollowedHyperlink">
    <w:name w:val="FollowedHyperlink"/>
    <w:basedOn w:val="DefaultParagraphFont"/>
    <w:uiPriority w:val="99"/>
    <w:semiHidden/>
    <w:unhideWhenUsed/>
    <w:rsid w:val="009642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8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l.sgul.ac.uk/org/cs/hr/staff-development/online-training-modules?searchterm=unconscious+bia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gul.learnupon.com/users/sign_in?next=%2Fdashboard"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EF319-1F6F-4C75-BAFF-A5EBFEAB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 Institute Statuatory Requirements</dc:title>
  <dc:subject>
  </dc:subject>
  <dc:creator>Melanie Monteiro</dc:creator>
  <cp:keywords>
  </cp:keywords>
  <dc:description>
  </dc:description>
  <cp:lastModifiedBy>ssebastian</cp:lastModifiedBy>
  <cp:revision>2</cp:revision>
  <dcterms:created xsi:type="dcterms:W3CDTF">2019-08-29T13:53:00Z</dcterms:created>
  <dcterms:modified xsi:type="dcterms:W3CDTF">2019-08-29T13:54:30Z</dcterms:modified>
</cp:coreProperties>
</file>