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6" w:type="dxa"/>
        <w:tblInd w:w="-459" w:type="dxa"/>
        <w:tblLook w:val="01E0" w:firstRow="1" w:lastRow="1" w:firstColumn="1" w:lastColumn="1" w:noHBand="0" w:noVBand="0"/>
      </w:tblPr>
      <w:tblGrid>
        <w:gridCol w:w="6096"/>
        <w:gridCol w:w="3260"/>
      </w:tblGrid>
      <w:tr w:rsidR="00611D00" w:rsidTr="00D15E26" w14:paraId="399AAA4D" w14:textId="77777777">
        <w:trPr>
          <w:trHeight w:val="848"/>
        </w:trPr>
        <w:tc>
          <w:tcPr>
            <w:tcW w:w="6096" w:type="dxa"/>
          </w:tcPr>
          <w:p w:rsidR="00611D00" w:rsidP="00D15E26" w:rsidRDefault="00611D00" w14:paraId="217F889C" w14:textId="77777777">
            <w:pPr>
              <w:rPr>
                <w:rFonts w:ascii="Arial" w:hAnsi="Arial" w:cs="Arial"/>
              </w:rPr>
            </w:pPr>
          </w:p>
          <w:p w:rsidRPr="00714824" w:rsidR="00611D00" w:rsidP="00D15E26" w:rsidRDefault="00611D00" w14:paraId="34A897B9" w14:textId="77777777">
            <w:pPr>
              <w:rPr>
                <w:rFonts w:ascii="Arial" w:hAnsi="Arial" w:cs="Arial"/>
              </w:rPr>
            </w:pPr>
            <w:r w:rsidRPr="00C6009F">
              <w:rPr>
                <w:rFonts w:ascii="Arial" w:hAnsi="Arial" w:cs="Arial"/>
                <w:sz w:val="20"/>
                <w:szCs w:val="20"/>
              </w:rPr>
              <w:t>SOP Title Reference: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</w:rPr>
              <w:t>Secure Disposal Procedure</w:t>
            </w:r>
          </w:p>
          <w:p w:rsidRPr="004361F5" w:rsidR="00611D00" w:rsidP="00D15E26" w:rsidRDefault="00611D00" w14:paraId="42D15FE2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 w:val="restart"/>
          </w:tcPr>
          <w:p w:rsidR="00611D00" w:rsidP="00D15E26" w:rsidRDefault="00611D00" w14:paraId="75584C7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editId="697B6C66" wp14:anchorId="50BFCF2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79375</wp:posOffset>
                  </wp:positionV>
                  <wp:extent cx="1972310" cy="922020"/>
                  <wp:effectExtent l="0" t="0" r="8890" b="0"/>
                  <wp:wrapNone/>
                  <wp:docPr id="20" name="Picture 20" descr="logo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med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D00" w:rsidP="00D15E26" w:rsidRDefault="00611D00" w14:paraId="577AA2F6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16CA8B84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7356F9C0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6AB840CB" w14:textId="77777777">
            <w:pPr>
              <w:rPr>
                <w:rFonts w:ascii="Arial" w:hAnsi="Arial" w:cs="Arial"/>
              </w:rPr>
            </w:pPr>
          </w:p>
        </w:tc>
      </w:tr>
      <w:tr w:rsidR="00611D00" w:rsidTr="00D15E26" w14:paraId="10D9D2D7" w14:textId="77777777">
        <w:trPr>
          <w:trHeight w:val="847"/>
        </w:trPr>
        <w:tc>
          <w:tcPr>
            <w:tcW w:w="6096" w:type="dxa"/>
          </w:tcPr>
          <w:p w:rsidRPr="00C6009F" w:rsidR="00611D00" w:rsidP="00D15E26" w:rsidRDefault="00611D00" w14:paraId="7D841DCA" w14:textId="77777777">
            <w:pPr>
              <w:spacing w:before="240"/>
              <w:rPr>
                <w:rFonts w:ascii="Arial" w:hAnsi="Arial" w:cs="Arial"/>
              </w:rPr>
            </w:pPr>
            <w:r w:rsidRPr="00C6009F">
              <w:rPr>
                <w:rFonts w:ascii="Arial" w:hAnsi="Arial" w:cs="Arial"/>
                <w:sz w:val="20"/>
                <w:szCs w:val="20"/>
              </w:rPr>
              <w:t>Author:</w:t>
            </w:r>
            <w:r w:rsidRPr="00C600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GLAS</w:t>
            </w:r>
          </w:p>
          <w:p w:rsidR="00611D00" w:rsidP="00D15E26" w:rsidRDefault="00611D00" w14:paraId="5077DC12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:rsidR="00611D00" w:rsidP="00D15E26" w:rsidRDefault="00611D00" w14:paraId="21428AF6" w14:textId="77777777">
            <w:pPr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611D00" w:rsidTr="00D15E26" w14:paraId="7E59C8BE" w14:textId="77777777">
        <w:trPr>
          <w:trHeight w:val="10762"/>
        </w:trPr>
        <w:tc>
          <w:tcPr>
            <w:tcW w:w="9356" w:type="dxa"/>
            <w:gridSpan w:val="2"/>
            <w:tcBorders>
              <w:bottom w:val="single" w:color="auto" w:sz="4" w:space="0"/>
            </w:tcBorders>
          </w:tcPr>
          <w:p w:rsidR="00611D00" w:rsidP="00D15E26" w:rsidRDefault="00611D00" w14:paraId="0F7A42EC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60660FC7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46784066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0E4B739B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7F9EC005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0839814C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2121EF4B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2DE5C9F1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6380F725" w14:textId="77777777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  <w:p w:rsidRPr="00AD49F6" w:rsidR="00611D00" w:rsidP="00D15E26" w:rsidRDefault="00611D00" w14:paraId="6596230D" w14:textId="77777777">
            <w:pPr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 xml:space="preserve">GLAS </w:t>
            </w:r>
            <w:r w:rsidRPr="00AD49F6">
              <w:rPr>
                <w:rFonts w:ascii="Arial" w:hAnsi="Arial" w:cs="Arial"/>
                <w:b/>
                <w:sz w:val="56"/>
                <w:szCs w:val="56"/>
              </w:rPr>
              <w:t>Policies and Procedures</w:t>
            </w:r>
          </w:p>
          <w:p w:rsidR="00611D00" w:rsidP="00D15E26" w:rsidRDefault="00611D00" w14:paraId="4BCB970B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5C6E5B5C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10B3B483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5920C221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58C46333" w14:textId="77777777">
            <w:pPr>
              <w:rPr>
                <w:rFonts w:ascii="Arial" w:hAnsi="Arial" w:cs="Arial"/>
                <w:sz w:val="48"/>
                <w:szCs w:val="48"/>
              </w:rPr>
            </w:pPr>
          </w:p>
          <w:p w:rsidR="00611D00" w:rsidP="00D15E26" w:rsidRDefault="00611D00" w14:paraId="011E74FF" w14:textId="77777777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Secure Disposal Procedure </w:t>
            </w:r>
          </w:p>
          <w:p w:rsidR="00611D00" w:rsidP="00D15E26" w:rsidRDefault="00611D00" w14:paraId="087B0978" w14:textId="77777777">
            <w:pPr>
              <w:rPr>
                <w:rFonts w:ascii="Arial" w:hAnsi="Arial" w:cs="Arial"/>
                <w:sz w:val="48"/>
                <w:szCs w:val="48"/>
              </w:rPr>
            </w:pPr>
          </w:p>
          <w:p w:rsidR="00611D00" w:rsidP="00D15E26" w:rsidRDefault="00611D00" w14:paraId="73270839" w14:textId="77777777">
            <w:pPr>
              <w:rPr>
                <w:rFonts w:ascii="Arial" w:hAnsi="Arial" w:cs="Arial"/>
                <w:sz w:val="48"/>
                <w:szCs w:val="48"/>
              </w:rPr>
            </w:pPr>
          </w:p>
          <w:p w:rsidR="00611D00" w:rsidP="00D15E26" w:rsidRDefault="00611D00" w14:paraId="3B7370ED" w14:textId="77777777">
            <w:pPr>
              <w:rPr>
                <w:rFonts w:ascii="Arial" w:hAnsi="Arial" w:cs="Arial"/>
                <w:sz w:val="48"/>
                <w:szCs w:val="48"/>
              </w:rPr>
            </w:pPr>
          </w:p>
          <w:p w:rsidR="00611D00" w:rsidP="00D15E26" w:rsidRDefault="00611D00" w14:paraId="56BFF9DB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1DE12485" w14:textId="77777777">
            <w:pPr>
              <w:rPr>
                <w:rFonts w:ascii="Arial" w:hAnsi="Arial" w:cs="Arial"/>
              </w:rPr>
            </w:pPr>
          </w:p>
          <w:p w:rsidRPr="00E46ED0" w:rsidR="00611D00" w:rsidP="00D15E26" w:rsidRDefault="00611D00" w14:paraId="6142D39D" w14:textId="77777777">
            <w:pPr>
              <w:rPr>
                <w:rFonts w:ascii="Arial" w:hAnsi="Arial" w:cs="Arial"/>
              </w:rPr>
            </w:pPr>
          </w:p>
          <w:p w:rsidR="00611D00" w:rsidP="00D15E26" w:rsidRDefault="00611D00" w14:paraId="5BBD0AF2" w14:textId="77777777">
            <w:pPr>
              <w:rPr>
                <w:rFonts w:ascii="Arial" w:hAnsi="Arial" w:cs="Arial"/>
              </w:rPr>
            </w:pPr>
          </w:p>
        </w:tc>
      </w:tr>
      <w:tr w:rsidR="00611D00" w:rsidTr="00D15E26" w14:paraId="0F9B1A72" w14:textId="77777777">
        <w:trPr>
          <w:trHeight w:val="842"/>
        </w:trPr>
        <w:tc>
          <w:tcPr>
            <w:tcW w:w="9356" w:type="dxa"/>
            <w:gridSpan w:val="2"/>
          </w:tcPr>
          <w:p w:rsidR="00611D00" w:rsidP="00D15E26" w:rsidRDefault="00611D00" w14:paraId="55771144" w14:textId="77777777">
            <w:pPr>
              <w:rPr>
                <w:rFonts w:ascii="Arial" w:hAnsi="Arial" w:cs="Arial"/>
              </w:rPr>
            </w:pPr>
          </w:p>
          <w:p w:rsidRPr="009F6293" w:rsidR="00611D00" w:rsidP="00D15E26" w:rsidRDefault="00611D00" w14:paraId="53DE3B70" w14:textId="77777777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F6293">
              <w:rPr>
                <w:rFonts w:ascii="Arial" w:hAnsi="Arial" w:cs="Arial"/>
                <w:sz w:val="22"/>
                <w:szCs w:val="22"/>
                <w:lang w:val="en-US"/>
              </w:rPr>
              <w:t>St George's, University of London, Cranmer Terrace, London  SW17 0RE</w:t>
            </w:r>
          </w:p>
        </w:tc>
      </w:tr>
    </w:tbl>
    <w:p w:rsidR="00EC37DF" w:rsidRDefault="00E724EE" w14:paraId="4C524A53" w14:textId="77777777"/>
    <w:p w:rsidR="00611D00" w:rsidRDefault="00611D00" w14:paraId="0BFA33DD" w14:textId="77777777"/>
    <w:p w:rsidRPr="00855914" w:rsidR="00611D00" w:rsidP="00611D00" w:rsidRDefault="00611D00" w14:paraId="18A4535E" w14:textId="77777777">
      <w:pPr>
        <w:rPr>
          <w:rFonts w:ascii="Arial" w:hAnsi="Arial" w:cs="Arial"/>
          <w:b/>
          <w:sz w:val="32"/>
          <w:szCs w:val="32"/>
        </w:rPr>
      </w:pPr>
      <w:bookmarkStart w:name="_Toc508895004" w:id="0"/>
      <w:r w:rsidRPr="00855914">
        <w:rPr>
          <w:rFonts w:ascii="Arial" w:hAnsi="Arial" w:cs="Arial"/>
          <w:b/>
          <w:sz w:val="32"/>
          <w:szCs w:val="32"/>
        </w:rPr>
        <w:lastRenderedPageBreak/>
        <w:t>Contents</w:t>
      </w:r>
      <w:bookmarkEnd w:id="0"/>
    </w:p>
    <w:p w:rsidR="00611D00" w:rsidP="00611D00" w:rsidRDefault="00611D00" w14:paraId="731F0BD2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history="1" w:anchor="_Toc523996133">
        <w:r w:rsidRPr="00CB1662">
          <w:rPr>
            <w:rStyle w:val="Hyperlink"/>
            <w:noProof/>
          </w:rPr>
          <w:t>1.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CB1662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_Toc523996133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11D00" w:rsidP="00611D00" w:rsidRDefault="00E724EE" w14:paraId="09156CDB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23996134">
        <w:r w:rsidRPr="00CB1662" w:rsidR="00611D00">
          <w:rPr>
            <w:rStyle w:val="Hyperlink"/>
            <w:noProof/>
          </w:rPr>
          <w:t>2.</w:t>
        </w:r>
        <w:r w:rsidR="00611D00"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CB1662" w:rsidR="00611D00">
          <w:rPr>
            <w:rStyle w:val="Hyperlink"/>
            <w:noProof/>
          </w:rPr>
          <w:t>Purpose</w:t>
        </w:r>
        <w:r w:rsidR="00611D00">
          <w:rPr>
            <w:noProof/>
            <w:webHidden/>
          </w:rPr>
          <w:tab/>
        </w:r>
        <w:r w:rsidR="00611D00">
          <w:rPr>
            <w:noProof/>
            <w:webHidden/>
          </w:rPr>
          <w:fldChar w:fldCharType="begin"/>
        </w:r>
        <w:r w:rsidR="00611D00">
          <w:rPr>
            <w:noProof/>
            <w:webHidden/>
          </w:rPr>
          <w:instrText xml:space="preserve"> PAGEREF _Toc523996134 \h </w:instrText>
        </w:r>
        <w:r w:rsidR="00611D00">
          <w:rPr>
            <w:noProof/>
            <w:webHidden/>
          </w:rPr>
        </w:r>
        <w:r w:rsidR="00611D00">
          <w:rPr>
            <w:noProof/>
            <w:webHidden/>
          </w:rPr>
          <w:fldChar w:fldCharType="separate"/>
        </w:r>
        <w:r w:rsidR="00611D00">
          <w:rPr>
            <w:noProof/>
            <w:webHidden/>
          </w:rPr>
          <w:t>3</w:t>
        </w:r>
        <w:r w:rsidR="00611D00">
          <w:rPr>
            <w:noProof/>
            <w:webHidden/>
          </w:rPr>
          <w:fldChar w:fldCharType="end"/>
        </w:r>
      </w:hyperlink>
    </w:p>
    <w:p w:rsidR="00611D00" w:rsidP="00611D00" w:rsidRDefault="00E724EE" w14:paraId="15FDC0E3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23996135">
        <w:r w:rsidRPr="00CB1662" w:rsidR="00611D00">
          <w:rPr>
            <w:rStyle w:val="Hyperlink"/>
            <w:noProof/>
          </w:rPr>
          <w:t>3.</w:t>
        </w:r>
        <w:r w:rsidR="00611D00"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CB1662" w:rsidR="00611D00">
          <w:rPr>
            <w:rStyle w:val="Hyperlink"/>
            <w:noProof/>
          </w:rPr>
          <w:t>Scope</w:t>
        </w:r>
        <w:r w:rsidR="00611D00">
          <w:rPr>
            <w:noProof/>
            <w:webHidden/>
          </w:rPr>
          <w:tab/>
        </w:r>
        <w:r w:rsidR="00611D00">
          <w:rPr>
            <w:noProof/>
            <w:webHidden/>
          </w:rPr>
          <w:fldChar w:fldCharType="begin"/>
        </w:r>
        <w:r w:rsidR="00611D00">
          <w:rPr>
            <w:noProof/>
            <w:webHidden/>
          </w:rPr>
          <w:instrText xml:space="preserve"> PAGEREF _Toc523996135 \h </w:instrText>
        </w:r>
        <w:r w:rsidR="00611D00">
          <w:rPr>
            <w:noProof/>
            <w:webHidden/>
          </w:rPr>
        </w:r>
        <w:r w:rsidR="00611D00">
          <w:rPr>
            <w:noProof/>
            <w:webHidden/>
          </w:rPr>
          <w:fldChar w:fldCharType="separate"/>
        </w:r>
        <w:r w:rsidR="00611D00">
          <w:rPr>
            <w:noProof/>
            <w:webHidden/>
          </w:rPr>
          <w:t>3</w:t>
        </w:r>
        <w:r w:rsidR="00611D00">
          <w:rPr>
            <w:noProof/>
            <w:webHidden/>
          </w:rPr>
          <w:fldChar w:fldCharType="end"/>
        </w:r>
      </w:hyperlink>
    </w:p>
    <w:p w:rsidR="00611D00" w:rsidP="00611D00" w:rsidRDefault="00E724EE" w14:paraId="42DD8833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23996136">
        <w:r w:rsidRPr="00CB1662" w:rsidR="00611D00">
          <w:rPr>
            <w:rStyle w:val="Hyperlink"/>
            <w:noProof/>
          </w:rPr>
          <w:t>4.</w:t>
        </w:r>
        <w:r w:rsidR="00611D00"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CB1662" w:rsidR="00611D00">
          <w:rPr>
            <w:rStyle w:val="Hyperlink"/>
            <w:noProof/>
          </w:rPr>
          <w:t>Policy</w:t>
        </w:r>
        <w:r w:rsidR="00611D00">
          <w:rPr>
            <w:noProof/>
            <w:webHidden/>
          </w:rPr>
          <w:tab/>
        </w:r>
        <w:r w:rsidR="00611D00">
          <w:rPr>
            <w:noProof/>
            <w:webHidden/>
          </w:rPr>
          <w:fldChar w:fldCharType="begin"/>
        </w:r>
        <w:r w:rsidR="00611D00">
          <w:rPr>
            <w:noProof/>
            <w:webHidden/>
          </w:rPr>
          <w:instrText xml:space="preserve"> PAGEREF _Toc523996136 \h </w:instrText>
        </w:r>
        <w:r w:rsidR="00611D00">
          <w:rPr>
            <w:noProof/>
            <w:webHidden/>
          </w:rPr>
        </w:r>
        <w:r w:rsidR="00611D00">
          <w:rPr>
            <w:noProof/>
            <w:webHidden/>
          </w:rPr>
          <w:fldChar w:fldCharType="separate"/>
        </w:r>
        <w:r w:rsidR="00611D00">
          <w:rPr>
            <w:noProof/>
            <w:webHidden/>
          </w:rPr>
          <w:t>3</w:t>
        </w:r>
        <w:r w:rsidR="00611D00">
          <w:rPr>
            <w:noProof/>
            <w:webHidden/>
          </w:rPr>
          <w:fldChar w:fldCharType="end"/>
        </w:r>
      </w:hyperlink>
    </w:p>
    <w:p w:rsidR="00611D00" w:rsidP="00611D00" w:rsidRDefault="00E724EE" w14:paraId="47BEEE29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23996137">
        <w:r w:rsidRPr="00CB1662" w:rsidR="00611D00">
          <w:rPr>
            <w:rStyle w:val="Hyperlink"/>
            <w:noProof/>
          </w:rPr>
          <w:t>5.</w:t>
        </w:r>
        <w:r w:rsidR="00611D00"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CB1662" w:rsidR="00611D00">
          <w:rPr>
            <w:rStyle w:val="Hyperlink"/>
            <w:noProof/>
          </w:rPr>
          <w:t>Compliance</w:t>
        </w:r>
        <w:r w:rsidR="00611D00">
          <w:rPr>
            <w:noProof/>
            <w:webHidden/>
          </w:rPr>
          <w:tab/>
        </w:r>
        <w:r w:rsidR="00611D00">
          <w:rPr>
            <w:noProof/>
            <w:webHidden/>
          </w:rPr>
          <w:fldChar w:fldCharType="begin"/>
        </w:r>
        <w:r w:rsidR="00611D00">
          <w:rPr>
            <w:noProof/>
            <w:webHidden/>
          </w:rPr>
          <w:instrText xml:space="preserve"> PAGEREF _Toc523996137 \h </w:instrText>
        </w:r>
        <w:r w:rsidR="00611D00">
          <w:rPr>
            <w:noProof/>
            <w:webHidden/>
          </w:rPr>
        </w:r>
        <w:r w:rsidR="00611D00">
          <w:rPr>
            <w:noProof/>
            <w:webHidden/>
          </w:rPr>
          <w:fldChar w:fldCharType="separate"/>
        </w:r>
        <w:r w:rsidR="00611D00">
          <w:rPr>
            <w:noProof/>
            <w:webHidden/>
          </w:rPr>
          <w:t>3</w:t>
        </w:r>
        <w:r w:rsidR="00611D00">
          <w:rPr>
            <w:noProof/>
            <w:webHidden/>
          </w:rPr>
          <w:fldChar w:fldCharType="end"/>
        </w:r>
      </w:hyperlink>
    </w:p>
    <w:p w:rsidR="00611D00" w:rsidP="00611D00" w:rsidRDefault="00E724EE" w14:paraId="02C36860" w14:textId="77777777">
      <w:pPr>
        <w:pStyle w:val="TOC1"/>
        <w:tabs>
          <w:tab w:val="left" w:pos="480"/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23996138">
        <w:r w:rsidRPr="00CB1662" w:rsidR="00611D00">
          <w:rPr>
            <w:rStyle w:val="Hyperlink"/>
            <w:noProof/>
          </w:rPr>
          <w:t>6.</w:t>
        </w:r>
        <w:r w:rsidR="00611D00">
          <w:rPr>
            <w:rFonts w:asciiTheme="minorHAnsi" w:hAnsiTheme="minorHAnsi" w:eastAsiaTheme="minorEastAsia" w:cstheme="minorBidi"/>
            <w:noProof/>
            <w:sz w:val="22"/>
            <w:szCs w:val="22"/>
            <w:lang w:eastAsia="en-GB"/>
          </w:rPr>
          <w:tab/>
        </w:r>
        <w:r w:rsidRPr="00CB1662" w:rsidR="00611D00">
          <w:rPr>
            <w:rStyle w:val="Hyperlink"/>
            <w:noProof/>
          </w:rPr>
          <w:t>Procedure Maintenance</w:t>
        </w:r>
        <w:r w:rsidR="00611D00">
          <w:rPr>
            <w:noProof/>
            <w:webHidden/>
          </w:rPr>
          <w:tab/>
        </w:r>
        <w:r w:rsidR="00611D00">
          <w:rPr>
            <w:noProof/>
            <w:webHidden/>
          </w:rPr>
          <w:fldChar w:fldCharType="begin"/>
        </w:r>
        <w:r w:rsidR="00611D00">
          <w:rPr>
            <w:noProof/>
            <w:webHidden/>
          </w:rPr>
          <w:instrText xml:space="preserve"> PAGEREF _Toc523996138 \h </w:instrText>
        </w:r>
        <w:r w:rsidR="00611D00">
          <w:rPr>
            <w:noProof/>
            <w:webHidden/>
          </w:rPr>
        </w:r>
        <w:r w:rsidR="00611D00">
          <w:rPr>
            <w:noProof/>
            <w:webHidden/>
          </w:rPr>
          <w:fldChar w:fldCharType="separate"/>
        </w:r>
        <w:r w:rsidR="00611D00">
          <w:rPr>
            <w:noProof/>
            <w:webHidden/>
          </w:rPr>
          <w:t>3</w:t>
        </w:r>
        <w:r w:rsidR="00611D00">
          <w:rPr>
            <w:noProof/>
            <w:webHidden/>
          </w:rPr>
          <w:fldChar w:fldCharType="end"/>
        </w:r>
      </w:hyperlink>
    </w:p>
    <w:p w:rsidR="00611D00" w:rsidP="00611D00" w:rsidRDefault="00E724EE" w14:paraId="1D87D74F" w14:textId="77777777">
      <w:pPr>
        <w:pStyle w:val="TOC1"/>
        <w:tabs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23996139">
        <w:r w:rsidRPr="00CB1662" w:rsidR="00611D00">
          <w:rPr>
            <w:rStyle w:val="Hyperlink"/>
            <w:rFonts w:eastAsia="Arial"/>
            <w:bCs/>
            <w:noProof/>
          </w:rPr>
          <w:t>Document Information</w:t>
        </w:r>
        <w:r w:rsidR="00611D00">
          <w:rPr>
            <w:noProof/>
            <w:webHidden/>
          </w:rPr>
          <w:tab/>
        </w:r>
        <w:r w:rsidR="00611D00">
          <w:rPr>
            <w:noProof/>
            <w:webHidden/>
          </w:rPr>
          <w:fldChar w:fldCharType="begin"/>
        </w:r>
        <w:r w:rsidR="00611D00">
          <w:rPr>
            <w:noProof/>
            <w:webHidden/>
          </w:rPr>
          <w:instrText xml:space="preserve"> PAGEREF _Toc523996139 \h </w:instrText>
        </w:r>
        <w:r w:rsidR="00611D00">
          <w:rPr>
            <w:noProof/>
            <w:webHidden/>
          </w:rPr>
        </w:r>
        <w:r w:rsidR="00611D00">
          <w:rPr>
            <w:noProof/>
            <w:webHidden/>
          </w:rPr>
          <w:fldChar w:fldCharType="separate"/>
        </w:r>
        <w:r w:rsidR="00611D00">
          <w:rPr>
            <w:noProof/>
            <w:webHidden/>
          </w:rPr>
          <w:t>3</w:t>
        </w:r>
        <w:r w:rsidR="00611D00">
          <w:rPr>
            <w:noProof/>
            <w:webHidden/>
          </w:rPr>
          <w:fldChar w:fldCharType="end"/>
        </w:r>
      </w:hyperlink>
    </w:p>
    <w:p w:rsidR="00611D00" w:rsidP="00611D00" w:rsidRDefault="00E724EE" w14:paraId="7F5BC086" w14:textId="77777777">
      <w:pPr>
        <w:pStyle w:val="TOC1"/>
        <w:tabs>
          <w:tab w:val="right" w:leader="dot" w:pos="8303"/>
        </w:tabs>
        <w:rPr>
          <w:rFonts w:asciiTheme="minorHAnsi" w:hAnsiTheme="minorHAnsi" w:eastAsiaTheme="minorEastAsia" w:cstheme="minorBidi"/>
          <w:noProof/>
          <w:sz w:val="22"/>
          <w:szCs w:val="22"/>
          <w:lang w:eastAsia="en-GB"/>
        </w:rPr>
      </w:pPr>
      <w:hyperlink w:history="1" w:anchor="_Toc523996140">
        <w:r w:rsidRPr="00CB1662" w:rsidR="00611D00">
          <w:rPr>
            <w:rStyle w:val="Hyperlink"/>
            <w:rFonts w:eastAsia="Arial"/>
            <w:bCs/>
            <w:noProof/>
          </w:rPr>
          <w:t>Document History</w:t>
        </w:r>
        <w:r w:rsidR="00611D00">
          <w:rPr>
            <w:noProof/>
            <w:webHidden/>
          </w:rPr>
          <w:tab/>
        </w:r>
        <w:r w:rsidR="00611D00">
          <w:rPr>
            <w:noProof/>
            <w:webHidden/>
          </w:rPr>
          <w:fldChar w:fldCharType="begin"/>
        </w:r>
        <w:r w:rsidR="00611D00">
          <w:rPr>
            <w:noProof/>
            <w:webHidden/>
          </w:rPr>
          <w:instrText xml:space="preserve"> PAGEREF _Toc523996140 \h </w:instrText>
        </w:r>
        <w:r w:rsidR="00611D00">
          <w:rPr>
            <w:noProof/>
            <w:webHidden/>
          </w:rPr>
        </w:r>
        <w:r w:rsidR="00611D00">
          <w:rPr>
            <w:noProof/>
            <w:webHidden/>
          </w:rPr>
          <w:fldChar w:fldCharType="separate"/>
        </w:r>
        <w:r w:rsidR="00611D00">
          <w:rPr>
            <w:noProof/>
            <w:webHidden/>
          </w:rPr>
          <w:t>4</w:t>
        </w:r>
        <w:r w:rsidR="00611D00">
          <w:rPr>
            <w:noProof/>
            <w:webHidden/>
          </w:rPr>
          <w:fldChar w:fldCharType="end"/>
        </w:r>
      </w:hyperlink>
    </w:p>
    <w:p w:rsidR="00611D00" w:rsidP="00611D00" w:rsidRDefault="00611D00" w14:paraId="7DF5C8D1" w14:textId="77777777">
      <w:r>
        <w:fldChar w:fldCharType="end"/>
      </w:r>
    </w:p>
    <w:p w:rsidR="00611D00" w:rsidRDefault="00611D00" w14:paraId="5925E8BE" w14:textId="77777777">
      <w:pPr>
        <w:spacing w:after="160" w:line="259" w:lineRule="auto"/>
      </w:pPr>
      <w:r>
        <w:br w:type="page"/>
      </w:r>
    </w:p>
    <w:p w:rsidRPr="00CE2D0B" w:rsidR="00611D00" w:rsidP="00611D00" w:rsidRDefault="00611D00" w14:paraId="1E5EB3BE" w14:textId="77777777">
      <w:pPr>
        <w:pStyle w:val="Heading1"/>
        <w:keepNext w:val="0"/>
        <w:numPr>
          <w:ilvl w:val="0"/>
          <w:numId w:val="1"/>
        </w:numPr>
        <w:spacing w:before="0" w:after="0"/>
        <w:contextualSpacing/>
      </w:pPr>
      <w:bookmarkStart w:name="_Toc523996133" w:id="1"/>
      <w:r>
        <w:lastRenderedPageBreak/>
        <w:t>Introduction</w:t>
      </w:r>
      <w:bookmarkEnd w:id="1"/>
    </w:p>
    <w:p w:rsidRPr="00CE2D0B" w:rsidR="00611D00" w:rsidP="00611D00" w:rsidRDefault="00611D00" w14:paraId="32223706" w14:textId="77777777"/>
    <w:p w:rsidR="00611D00" w:rsidP="00611D00" w:rsidRDefault="00611D00" w14:paraId="65A5A117" w14:textId="777777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This procedure sets out guidance on the actions to be taken when disposing of records.  </w:t>
      </w:r>
    </w:p>
    <w:p w:rsidRPr="00CE2D0B" w:rsidR="00611D00" w:rsidP="00611D00" w:rsidRDefault="00611D00" w14:paraId="1E21ED3D" w14:textId="77777777"/>
    <w:p w:rsidRPr="00CE2D0B" w:rsidR="00611D00" w:rsidP="00611D00" w:rsidRDefault="00611D00" w14:paraId="1696F6A2" w14:textId="77777777">
      <w:pPr>
        <w:pStyle w:val="Heading1"/>
        <w:keepNext w:val="0"/>
        <w:numPr>
          <w:ilvl w:val="0"/>
          <w:numId w:val="1"/>
        </w:numPr>
        <w:spacing w:before="0" w:after="0"/>
        <w:contextualSpacing/>
      </w:pPr>
      <w:bookmarkStart w:name="_Toc523996134" w:id="2"/>
      <w:r>
        <w:t>Purpose</w:t>
      </w:r>
      <w:bookmarkEnd w:id="2"/>
      <w:r>
        <w:t xml:space="preserve"> </w:t>
      </w:r>
    </w:p>
    <w:p w:rsidRPr="00CE2D0B" w:rsidR="00611D00" w:rsidP="00611D00" w:rsidRDefault="00611D00" w14:paraId="3880648B" w14:textId="77777777"/>
    <w:p w:rsidRPr="00155E2A" w:rsidR="00611D00" w:rsidP="00611D00" w:rsidRDefault="00611D00" w14:paraId="309DEB1C" w14:textId="77777777">
      <w:pPr>
        <w:rPr>
          <w:rFonts w:ascii="Arial" w:hAnsi="Arial"/>
          <w:sz w:val="22"/>
        </w:rPr>
      </w:pPr>
      <w:r w:rsidRPr="00155E2A">
        <w:rPr>
          <w:rFonts w:ascii="Arial" w:hAnsi="Arial"/>
          <w:sz w:val="22"/>
        </w:rPr>
        <w:t xml:space="preserve">This </w:t>
      </w:r>
      <w:r>
        <w:rPr>
          <w:rFonts w:ascii="Arial" w:hAnsi="Arial"/>
          <w:sz w:val="22"/>
        </w:rPr>
        <w:t>procedure</w:t>
      </w:r>
      <w:r w:rsidRPr="00155E2A">
        <w:rPr>
          <w:rFonts w:ascii="Arial" w:hAnsi="Arial"/>
          <w:sz w:val="22"/>
        </w:rPr>
        <w:t xml:space="preserve"> refers to all records </w:t>
      </w:r>
      <w:r>
        <w:rPr>
          <w:rFonts w:ascii="Arial" w:hAnsi="Arial"/>
          <w:sz w:val="22"/>
        </w:rPr>
        <w:t xml:space="preserve">disposals </w:t>
      </w:r>
      <w:r w:rsidRPr="00155E2A">
        <w:rPr>
          <w:rFonts w:ascii="Arial" w:hAnsi="Arial"/>
          <w:sz w:val="22"/>
        </w:rPr>
        <w:t xml:space="preserve">regardless of format and was implemented to support legislative and regulatory requirements.  </w:t>
      </w:r>
    </w:p>
    <w:p w:rsidRPr="00155E2A" w:rsidR="00611D00" w:rsidP="00611D00" w:rsidRDefault="00611D00" w14:paraId="35515702" w14:textId="77777777">
      <w:pPr>
        <w:rPr>
          <w:rFonts w:ascii="Arial" w:hAnsi="Arial"/>
          <w:sz w:val="22"/>
        </w:rPr>
      </w:pPr>
    </w:p>
    <w:p w:rsidR="00611D00" w:rsidP="00611D00" w:rsidRDefault="00611D00" w14:paraId="0C83A64C" w14:textId="77777777">
      <w:pPr>
        <w:pStyle w:val="Heading1"/>
        <w:keepNext w:val="0"/>
        <w:numPr>
          <w:ilvl w:val="0"/>
          <w:numId w:val="1"/>
        </w:numPr>
        <w:spacing w:before="0" w:after="0"/>
        <w:contextualSpacing/>
      </w:pPr>
      <w:bookmarkStart w:name="_Toc523996135" w:id="3"/>
      <w:r>
        <w:t>Scope</w:t>
      </w:r>
      <w:bookmarkEnd w:id="3"/>
      <w:r>
        <w:t xml:space="preserve"> </w:t>
      </w:r>
    </w:p>
    <w:p w:rsidRPr="00EC7CF6" w:rsidR="00611D00" w:rsidP="00611D00" w:rsidRDefault="00611D00" w14:paraId="318F586C" w14:textId="77777777"/>
    <w:p w:rsidR="00611D00" w:rsidP="00611D00" w:rsidRDefault="00611D00" w14:paraId="63400485" w14:textId="77777777">
      <w:pPr>
        <w:rPr>
          <w:rFonts w:ascii="Arial" w:hAnsi="Arial"/>
          <w:sz w:val="22"/>
        </w:rPr>
      </w:pPr>
      <w:r w:rsidRPr="00155E2A">
        <w:rPr>
          <w:rFonts w:ascii="Arial" w:hAnsi="Arial"/>
          <w:sz w:val="22"/>
        </w:rPr>
        <w:t>This</w:t>
      </w:r>
      <w:r>
        <w:rPr>
          <w:rFonts w:ascii="Arial" w:hAnsi="Arial"/>
          <w:sz w:val="22"/>
        </w:rPr>
        <w:t xml:space="preserve"> procedure</w:t>
      </w:r>
      <w:r w:rsidRPr="00155E2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should </w:t>
      </w:r>
      <w:r w:rsidRPr="00155E2A">
        <w:rPr>
          <w:rFonts w:ascii="Arial" w:hAnsi="Arial"/>
          <w:sz w:val="22"/>
        </w:rPr>
        <w:t xml:space="preserve">be followed by all SGUL employees and contractors who </w:t>
      </w:r>
      <w:r>
        <w:rPr>
          <w:rFonts w:ascii="Arial" w:hAnsi="Arial"/>
          <w:sz w:val="22"/>
        </w:rPr>
        <w:t xml:space="preserve">dispose of </w:t>
      </w:r>
      <w:r w:rsidRPr="00155E2A">
        <w:rPr>
          <w:rFonts w:ascii="Arial" w:hAnsi="Arial"/>
          <w:sz w:val="22"/>
        </w:rPr>
        <w:t xml:space="preserve">records. </w:t>
      </w:r>
    </w:p>
    <w:p w:rsidR="00611D00" w:rsidP="00611D00" w:rsidRDefault="00611D00" w14:paraId="29FA41A0" w14:textId="77777777">
      <w:pPr>
        <w:rPr>
          <w:rFonts w:ascii="Arial" w:hAnsi="Arial"/>
          <w:sz w:val="22"/>
        </w:rPr>
      </w:pPr>
    </w:p>
    <w:p w:rsidR="00611D00" w:rsidP="00611D00" w:rsidRDefault="00611D00" w14:paraId="00B472C4" w14:textId="77777777">
      <w:pPr>
        <w:pStyle w:val="Heading1"/>
        <w:keepNext w:val="0"/>
        <w:numPr>
          <w:ilvl w:val="0"/>
          <w:numId w:val="1"/>
        </w:numPr>
        <w:spacing w:before="0" w:after="0"/>
        <w:contextualSpacing/>
      </w:pPr>
      <w:r>
        <w:t>Procedure</w:t>
      </w:r>
      <w:r w:rsidRPr="007A7821">
        <w:t xml:space="preserve"> – Overview </w:t>
      </w:r>
    </w:p>
    <w:p w:rsidR="00611D00" w:rsidP="00611D00" w:rsidRDefault="00611D00" w14:paraId="25A3824D" w14:textId="77777777"/>
    <w:p w:rsidR="00611D00" w:rsidP="00611D00" w:rsidRDefault="00611D00" w14:paraId="0CCA8730" w14:textId="77777777">
      <w:pPr>
        <w:pStyle w:val="ListParagraph"/>
        <w:numPr>
          <w:ilvl w:val="0"/>
          <w:numId w:val="3"/>
        </w:numPr>
        <w:rPr>
          <w:rFonts w:eastAsia="Times New Roman" w:cs="Times New Roman"/>
          <w:sz w:val="22"/>
          <w:szCs w:val="24"/>
          <w:lang w:val="en-GB" w:eastAsia="en-US"/>
        </w:rPr>
      </w:pPr>
      <w:r w:rsidRPr="007A7821">
        <w:rPr>
          <w:sz w:val="22"/>
          <w:szCs w:val="22"/>
        </w:rPr>
        <w:t>Before disposing</w:t>
      </w:r>
      <w:r>
        <w:rPr>
          <w:rFonts w:eastAsia="Times New Roman" w:cs="Times New Roman"/>
          <w:sz w:val="22"/>
          <w:szCs w:val="24"/>
          <w:lang w:val="en-GB" w:eastAsia="en-US"/>
        </w:rPr>
        <w:t xml:space="preserve"> of any records check the </w:t>
      </w:r>
      <w:hyperlink w:history="1" r:id="rId9">
        <w:r w:rsidRPr="00154460">
          <w:rPr>
            <w:rStyle w:val="Hyperlink"/>
            <w:sz w:val="22"/>
          </w:rPr>
          <w:t>SGUL Records Retention Schedule</w:t>
        </w:r>
      </w:hyperlink>
      <w:r>
        <w:rPr>
          <w:rFonts w:eastAsia="Times New Roman" w:cs="Times New Roman"/>
          <w:sz w:val="22"/>
          <w:szCs w:val="24"/>
          <w:lang w:val="en-GB" w:eastAsia="en-US"/>
        </w:rPr>
        <w:t xml:space="preserve"> to ensure that the record is time expired.  </w:t>
      </w:r>
      <w:r w:rsidRPr="007A7821">
        <w:rPr>
          <w:rFonts w:eastAsia="Times New Roman" w:cs="Times New Roman"/>
          <w:sz w:val="22"/>
          <w:szCs w:val="24"/>
          <w:lang w:val="en-GB" w:eastAsia="en-US"/>
        </w:rPr>
        <w:t xml:space="preserve"> </w:t>
      </w:r>
      <w:r>
        <w:rPr>
          <w:rFonts w:eastAsia="Times New Roman" w:cs="Times New Roman"/>
          <w:sz w:val="22"/>
          <w:szCs w:val="24"/>
          <w:lang w:val="en-GB" w:eastAsia="en-US"/>
        </w:rPr>
        <w:t>Do not dispose of any record the schedules require us to keep.</w:t>
      </w:r>
    </w:p>
    <w:p w:rsidR="00611D00" w:rsidP="00611D00" w:rsidRDefault="00611D00" w14:paraId="50B0F8CB" w14:textId="77777777">
      <w:pPr>
        <w:pStyle w:val="ListParagraph"/>
        <w:numPr>
          <w:ilvl w:val="0"/>
          <w:numId w:val="3"/>
        </w:numPr>
        <w:rPr>
          <w:rFonts w:eastAsia="Times New Roman" w:cs="Times New Roman"/>
          <w:sz w:val="22"/>
          <w:szCs w:val="24"/>
          <w:lang w:val="en-GB" w:eastAsia="en-US"/>
        </w:rPr>
      </w:pPr>
      <w:r>
        <w:rPr>
          <w:rFonts w:eastAsia="Times New Roman" w:cs="Times New Roman"/>
          <w:sz w:val="22"/>
          <w:szCs w:val="24"/>
          <w:lang w:val="en-GB" w:eastAsia="en-US"/>
        </w:rPr>
        <w:t>In order to track our destructions complete a “</w:t>
      </w:r>
      <w:hyperlink w:history="1" r:id="rId10">
        <w:r w:rsidRPr="0075540B">
          <w:rPr>
            <w:rStyle w:val="Hyperlink"/>
            <w:rFonts w:eastAsia="Times New Roman" w:cs="Times New Roman"/>
            <w:sz w:val="22"/>
            <w:szCs w:val="24"/>
            <w:lang w:val="en-GB" w:eastAsia="en-US"/>
          </w:rPr>
          <w:t>Records Disposal Form</w:t>
        </w:r>
      </w:hyperlink>
      <w:r>
        <w:rPr>
          <w:rFonts w:eastAsia="Times New Roman" w:cs="Times New Roman"/>
          <w:sz w:val="22"/>
          <w:szCs w:val="24"/>
          <w:lang w:val="en-GB" w:eastAsia="en-US"/>
        </w:rPr>
        <w:t xml:space="preserve">” in order to track what records were disposed of, why they were destroyed, and when they were destroyed.     </w:t>
      </w:r>
    </w:p>
    <w:p w:rsidRPr="007A7821" w:rsidR="00611D00" w:rsidP="00611D00" w:rsidRDefault="00611D00" w14:paraId="3045565B" w14:textId="77777777">
      <w:pPr>
        <w:pStyle w:val="ListParagraph"/>
        <w:numPr>
          <w:ilvl w:val="0"/>
          <w:numId w:val="3"/>
        </w:numPr>
        <w:rPr>
          <w:rFonts w:eastAsia="Times New Roman" w:cs="Times New Roman"/>
          <w:sz w:val="22"/>
          <w:szCs w:val="24"/>
          <w:lang w:val="en-GB" w:eastAsia="en-US"/>
        </w:rPr>
      </w:pPr>
      <w:r>
        <w:rPr>
          <w:rFonts w:eastAsia="Times New Roman" w:cs="Times New Roman"/>
          <w:sz w:val="22"/>
          <w:szCs w:val="24"/>
          <w:lang w:val="en-GB" w:eastAsia="en-US"/>
        </w:rPr>
        <w:t xml:space="preserve">If you have any queries regarding destructions contact the </w:t>
      </w:r>
      <w:hyperlink w:history="1" r:id="rId11">
        <w:r w:rsidRPr="007C40AE">
          <w:rPr>
            <w:rStyle w:val="Hyperlink"/>
            <w:rFonts w:eastAsia="Times New Roman" w:cs="Times New Roman"/>
            <w:sz w:val="22"/>
            <w:szCs w:val="24"/>
            <w:lang w:val="en-GB" w:eastAsia="en-US"/>
          </w:rPr>
          <w:t>Records Manager</w:t>
        </w:r>
      </w:hyperlink>
      <w:r>
        <w:rPr>
          <w:rFonts w:eastAsia="Times New Roman" w:cs="Times New Roman"/>
          <w:sz w:val="22"/>
          <w:szCs w:val="24"/>
          <w:lang w:val="en-GB" w:eastAsia="en-US"/>
        </w:rPr>
        <w:t xml:space="preserve"> </w:t>
      </w:r>
    </w:p>
    <w:p w:rsidRPr="00155E2A" w:rsidR="00611D00" w:rsidP="00611D00" w:rsidRDefault="00611D00" w14:paraId="6F0EB1AE" w14:textId="77777777">
      <w:pPr>
        <w:rPr>
          <w:rFonts w:ascii="Arial" w:hAnsi="Arial"/>
          <w:sz w:val="22"/>
        </w:rPr>
      </w:pPr>
    </w:p>
    <w:p w:rsidR="00611D00" w:rsidP="00611D00" w:rsidRDefault="00611D00" w14:paraId="21C34B23" w14:textId="77777777">
      <w:pPr>
        <w:pStyle w:val="Heading1"/>
        <w:keepNext w:val="0"/>
        <w:numPr>
          <w:ilvl w:val="0"/>
          <w:numId w:val="1"/>
        </w:numPr>
        <w:spacing w:before="0" w:after="0"/>
        <w:contextualSpacing/>
      </w:pPr>
      <w:r>
        <w:t xml:space="preserve">Procedure – Hardcopy Records </w:t>
      </w:r>
    </w:p>
    <w:p w:rsidRPr="00EC7CF6" w:rsidR="00611D00" w:rsidP="00611D00" w:rsidRDefault="00611D00" w14:paraId="5C2638FB" w14:textId="77777777">
      <w:pPr>
        <w:rPr>
          <w:rFonts w:ascii="Arial" w:hAnsi="Arial" w:cs="Arial"/>
        </w:rPr>
      </w:pPr>
    </w:p>
    <w:p w:rsidRPr="007A7821" w:rsidR="00611D00" w:rsidP="00611D00" w:rsidRDefault="00BC484A" w14:paraId="4164E906" w14:textId="2224DF6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Lockable wheelie bins are located in departments for the disposal of hardcopy records.  C</w:t>
      </w:r>
      <w:r w:rsidRPr="007A7821" w:rsidR="00611D00">
        <w:rPr>
          <w:sz w:val="22"/>
          <w:szCs w:val="22"/>
        </w:rPr>
        <w:t xml:space="preserve">ontact </w:t>
      </w:r>
      <w:hyperlink w:history="1" r:id="rId12">
        <w:r w:rsidRPr="007C40AE" w:rsidR="00611D00">
          <w:rPr>
            <w:rStyle w:val="Hyperlink"/>
            <w:sz w:val="22"/>
          </w:rPr>
          <w:t>Site Services</w:t>
        </w:r>
      </w:hyperlink>
      <w:r>
        <w:rPr>
          <w:rStyle w:val="Hyperlink"/>
          <w:sz w:val="22"/>
        </w:rPr>
        <w:t xml:space="preserve"> </w:t>
      </w:r>
      <w:r w:rsidRPr="00BC484A">
        <w:rPr>
          <w:szCs w:val="22"/>
        </w:rPr>
        <w:t>if</w:t>
      </w:r>
      <w:r w:rsidRPr="007A7821" w:rsidR="00611D00">
        <w:rPr>
          <w:sz w:val="22"/>
          <w:szCs w:val="22"/>
        </w:rPr>
        <w:t xml:space="preserve"> </w:t>
      </w:r>
      <w:r>
        <w:rPr>
          <w:sz w:val="22"/>
          <w:szCs w:val="22"/>
        </w:rPr>
        <w:t>you have any queries about the lockable wheelie bins.</w:t>
      </w:r>
    </w:p>
    <w:p w:rsidRPr="007A7821" w:rsidR="00611D00" w:rsidP="00611D00" w:rsidRDefault="00611D00" w14:paraId="574C5DF9" w14:textId="1AD773D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A7821">
        <w:rPr>
          <w:sz w:val="22"/>
          <w:szCs w:val="22"/>
        </w:rPr>
        <w:t xml:space="preserve">Only place paper into the </w:t>
      </w:r>
      <w:r w:rsidR="00BC484A">
        <w:rPr>
          <w:sz w:val="22"/>
          <w:szCs w:val="22"/>
        </w:rPr>
        <w:t>lockable wheelie bins</w:t>
      </w:r>
      <w:r w:rsidRPr="007A7821">
        <w:rPr>
          <w:sz w:val="22"/>
          <w:szCs w:val="22"/>
        </w:rPr>
        <w:t>.</w:t>
      </w:r>
    </w:p>
    <w:p w:rsidR="00611D00" w:rsidP="00611D00" w:rsidRDefault="00611D00" w14:paraId="4E68B618" w14:textId="4388AA6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A7821">
        <w:rPr>
          <w:sz w:val="22"/>
          <w:szCs w:val="22"/>
        </w:rPr>
        <w:t xml:space="preserve">Once </w:t>
      </w:r>
      <w:r w:rsidR="00BC484A">
        <w:rPr>
          <w:sz w:val="22"/>
          <w:szCs w:val="22"/>
        </w:rPr>
        <w:t xml:space="preserve">the lockable wheelie bin is full and </w:t>
      </w:r>
      <w:r w:rsidRPr="007A7821">
        <w:rPr>
          <w:sz w:val="22"/>
          <w:szCs w:val="22"/>
        </w:rPr>
        <w:t xml:space="preserve">ready for collection contact </w:t>
      </w:r>
      <w:hyperlink w:history="1" r:id="rId13">
        <w:r w:rsidRPr="007C40AE">
          <w:rPr>
            <w:rStyle w:val="Hyperlink"/>
            <w:sz w:val="22"/>
          </w:rPr>
          <w:t>Site Services</w:t>
        </w:r>
      </w:hyperlink>
      <w:r w:rsidRPr="007A7821">
        <w:rPr>
          <w:sz w:val="22"/>
          <w:szCs w:val="22"/>
        </w:rPr>
        <w:t xml:space="preserve"> to arrange collection. </w:t>
      </w:r>
    </w:p>
    <w:p w:rsidRPr="007A7821" w:rsidR="00611D00" w:rsidP="00611D00" w:rsidRDefault="00611D00" w14:paraId="221E956F" w14:textId="7777777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7A7821">
        <w:rPr>
          <w:sz w:val="22"/>
          <w:szCs w:val="22"/>
        </w:rPr>
        <w:t xml:space="preserve">For further information on how Site Services handle confidential waste refer to </w:t>
      </w:r>
      <w:hyperlink w:history="1" r:id="rId14">
        <w:r w:rsidRPr="008773C8">
          <w:rPr>
            <w:rStyle w:val="Hyperlink"/>
            <w:sz w:val="22"/>
            <w:szCs w:val="22"/>
          </w:rPr>
          <w:t>https://www.sgul.ac.uk/about/our-institutes/institute-of-medical-and-biomedical-education/imbe-life/estates-and-waste</w:t>
        </w:r>
      </w:hyperlink>
      <w:r>
        <w:rPr>
          <w:sz w:val="22"/>
          <w:szCs w:val="22"/>
        </w:rPr>
        <w:t xml:space="preserve"> </w:t>
      </w:r>
    </w:p>
    <w:p w:rsidRPr="00154460" w:rsidR="00611D00" w:rsidP="00611D00" w:rsidRDefault="00611D00" w14:paraId="0A577E39" w14:textId="77777777">
      <w:pPr>
        <w:ind w:left="357"/>
        <w:rPr>
          <w:sz w:val="22"/>
        </w:rPr>
      </w:pPr>
    </w:p>
    <w:p w:rsidR="00611D00" w:rsidP="00611D00" w:rsidRDefault="00611D00" w14:paraId="5991FB57" w14:textId="77777777">
      <w:pPr>
        <w:rPr>
          <w:sz w:val="22"/>
        </w:rPr>
      </w:pPr>
    </w:p>
    <w:p w:rsidR="00611D00" w:rsidP="00611D00" w:rsidRDefault="00611D00" w14:paraId="50642001" w14:textId="77777777">
      <w:pPr>
        <w:pStyle w:val="Heading1"/>
        <w:keepNext w:val="0"/>
        <w:numPr>
          <w:ilvl w:val="0"/>
          <w:numId w:val="1"/>
        </w:numPr>
        <w:spacing w:before="0" w:after="0"/>
        <w:contextualSpacing/>
      </w:pPr>
      <w:r>
        <w:t>Procedure</w:t>
      </w:r>
      <w:r w:rsidRPr="00380F81">
        <w:t xml:space="preserve"> – Electronic Records </w:t>
      </w:r>
    </w:p>
    <w:p w:rsidR="00611D00" w:rsidP="00611D00" w:rsidRDefault="00611D00" w14:paraId="2C2CB9AE" w14:textId="77777777"/>
    <w:p w:rsidRPr="00770AA8" w:rsidR="00611D00" w:rsidP="00770AA8" w:rsidRDefault="00611D00" w14:paraId="4ADC1097" w14:textId="4C72B92C">
      <w:pPr>
        <w:pStyle w:val="NormalWeb"/>
        <w:numPr>
          <w:ilvl w:val="0"/>
          <w:numId w:val="5"/>
        </w:numPr>
        <w:spacing w:line="259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75540B">
        <w:rPr>
          <w:rFonts w:ascii="Arial" w:hAnsi="Arial" w:cs="Arial"/>
          <w:sz w:val="22"/>
          <w:szCs w:val="22"/>
        </w:rPr>
        <w:t xml:space="preserve">Information on disposing of electronic records can be found </w:t>
      </w:r>
      <w:r w:rsidRPr="00096764">
        <w:rPr>
          <w:rFonts w:ascii="Arial" w:hAnsi="Arial" w:cs="Arial"/>
          <w:sz w:val="22"/>
          <w:szCs w:val="22"/>
        </w:rPr>
        <w:sym w:font="Wingdings" w:char="F0E8"/>
      </w:r>
      <w:r w:rsidRPr="0075540B">
        <w:rPr>
          <w:rFonts w:ascii="Arial" w:hAnsi="Arial" w:cs="Arial"/>
          <w:sz w:val="22"/>
          <w:szCs w:val="22"/>
        </w:rPr>
        <w:t xml:space="preserve"> </w:t>
      </w:r>
      <w:hyperlink w:history="1" r:id="rId15">
        <w:r w:rsidRPr="0075540B">
          <w:rPr>
            <w:rStyle w:val="Hyperlink"/>
            <w:rFonts w:ascii="Arial" w:hAnsi="Arial" w:cs="Arial"/>
            <w:sz w:val="22"/>
            <w:szCs w:val="22"/>
          </w:rPr>
          <w:t>https://www.sgul.ac.uk/about/governance/policies/it-account-closures</w:t>
        </w:r>
      </w:hyperlink>
      <w:r w:rsidRPr="0075540B">
        <w:rPr>
          <w:rFonts w:ascii="Arial" w:hAnsi="Arial" w:cs="Arial"/>
          <w:sz w:val="22"/>
          <w:szCs w:val="22"/>
        </w:rPr>
        <w:t xml:space="preserve">   </w:t>
      </w:r>
    </w:p>
    <w:p w:rsidRPr="00770AA8" w:rsidR="00770AA8" w:rsidP="00770AA8" w:rsidRDefault="00770AA8" w14:paraId="6836AD6A" w14:textId="0D91D85E">
      <w:pPr>
        <w:pStyle w:val="NormalWeb"/>
        <w:numPr>
          <w:ilvl w:val="0"/>
          <w:numId w:val="5"/>
        </w:numPr>
        <w:spacing w:line="259" w:lineRule="auto"/>
        <w:ind w:left="357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Retention and Disposal Policy can be found </w:t>
      </w:r>
      <w:r w:rsidRPr="00770AA8">
        <w:rPr>
          <w:rFonts w:ascii="Arial" w:hAnsi="Arial" w:cs="Arial"/>
          <w:sz w:val="22"/>
          <w:szCs w:val="22"/>
        </w:rPr>
        <w:sym w:font="Wingdings" w:char="F0E8"/>
      </w:r>
      <w:r>
        <w:rPr>
          <w:rFonts w:ascii="Arial" w:hAnsi="Arial" w:cs="Arial"/>
          <w:sz w:val="22"/>
          <w:szCs w:val="22"/>
        </w:rPr>
        <w:t xml:space="preserve"> </w:t>
      </w:r>
      <w:hyperlink w:history="1" r:id="rId16">
        <w:r w:rsidRPr="00514FFE">
          <w:rPr>
            <w:rStyle w:val="Hyperlink"/>
            <w:rFonts w:ascii="Arial" w:hAnsi="Arial" w:cs="Arial"/>
            <w:sz w:val="22"/>
            <w:szCs w:val="22"/>
          </w:rPr>
          <w:t>https://www.sgul.ac.uk/about/governance/policies/retention-and-disposal</w:t>
        </w:r>
      </w:hyperlink>
      <w:r>
        <w:rPr>
          <w:rFonts w:ascii="Arial" w:hAnsi="Arial" w:cs="Arial"/>
          <w:sz w:val="22"/>
          <w:szCs w:val="22"/>
        </w:rPr>
        <w:t xml:space="preserve">  </w:t>
      </w:r>
    </w:p>
    <w:p w:rsidRPr="0075540B" w:rsidR="00770AA8" w:rsidP="00770AA8" w:rsidRDefault="00770AA8" w14:paraId="6A74B4BD" w14:textId="7E9F571A">
      <w:pPr>
        <w:pStyle w:val="NormalWeb"/>
        <w:numPr>
          <w:ilvl w:val="0"/>
          <w:numId w:val="5"/>
        </w:numPr>
        <w:spacing w:line="259" w:lineRule="auto"/>
        <w:ind w:left="357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Disposal Form can be found </w:t>
      </w:r>
      <w:r w:rsidRPr="00770AA8">
        <w:rPr>
          <w:rFonts w:ascii="Arial" w:hAnsi="Arial" w:cs="Arial"/>
          <w:sz w:val="22"/>
          <w:szCs w:val="22"/>
        </w:rPr>
        <w:sym w:font="Wingdings" w:char="F0E8"/>
      </w:r>
      <w:r>
        <w:rPr>
          <w:rFonts w:ascii="Arial" w:hAnsi="Arial" w:cs="Arial"/>
          <w:sz w:val="22"/>
          <w:szCs w:val="22"/>
        </w:rPr>
        <w:t xml:space="preserve"> </w:t>
      </w:r>
      <w:hyperlink w:history="1" r:id="rId17">
        <w:r w:rsidRPr="00514FFE">
          <w:rPr>
            <w:rStyle w:val="Hyperlink"/>
            <w:rFonts w:ascii="Arial" w:hAnsi="Arial" w:cs="Arial"/>
            <w:sz w:val="22"/>
            <w:szCs w:val="22"/>
          </w:rPr>
          <w:t>https://www.sgul.ac.uk/about/governance/documents/Records-Disposal-Form.docx</w:t>
        </w:r>
      </w:hyperlink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:rsidR="00611D00" w:rsidP="00611D00" w:rsidRDefault="00611D00" w14:paraId="77755C86" w14:textId="77777777">
      <w:pPr>
        <w:pStyle w:val="Heading1"/>
        <w:keepNext w:val="0"/>
        <w:numPr>
          <w:ilvl w:val="0"/>
          <w:numId w:val="1"/>
        </w:numPr>
        <w:spacing w:before="0" w:after="0"/>
        <w:contextualSpacing/>
      </w:pPr>
      <w:bookmarkStart w:name="_Toc523996138" w:id="4"/>
      <w:r>
        <w:t>Procedure Maintenance</w:t>
      </w:r>
      <w:bookmarkEnd w:id="4"/>
      <w:r>
        <w:t xml:space="preserve"> </w:t>
      </w:r>
    </w:p>
    <w:p w:rsidR="00611D00" w:rsidP="00611D00" w:rsidRDefault="00611D00" w14:paraId="6C6B818E" w14:textId="77777777">
      <w:pPr>
        <w:rPr>
          <w:rFonts w:ascii="Arial" w:hAnsi="Arial" w:cs="Arial"/>
        </w:rPr>
      </w:pPr>
    </w:p>
    <w:p w:rsidR="00611D00" w:rsidP="00611D00" w:rsidRDefault="00611D00" w14:paraId="73560E9B" w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procedure will be reviewed annually by the Records Manager </w:t>
      </w:r>
    </w:p>
    <w:p w:rsidR="00611D00" w:rsidP="00611D00" w:rsidRDefault="00611D00" w14:paraId="477B5169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CAC2B8" w:sz="8" w:space="0"/>
          <w:left w:val="single" w:color="CAC2B8" w:sz="8" w:space="0"/>
          <w:bottom w:val="single" w:color="CAC2B8" w:sz="8" w:space="0"/>
          <w:right w:val="single" w:color="CAC2B8" w:sz="8" w:space="0"/>
          <w:insideH w:val="single" w:color="CAC2B8" w:sz="8" w:space="0"/>
          <w:insideV w:val="single" w:color="CAC2B8" w:sz="8" w:space="0"/>
        </w:tblBorders>
        <w:tblLook w:val="04A0" w:firstRow="1" w:lastRow="0" w:firstColumn="1" w:lastColumn="0" w:noHBand="0" w:noVBand="1"/>
      </w:tblPr>
      <w:tblGrid>
        <w:gridCol w:w="2450"/>
        <w:gridCol w:w="5843"/>
      </w:tblGrid>
      <w:tr w:rsidRPr="009F6293" w:rsidR="00611D00" w:rsidTr="00D15E26" w14:paraId="4C24514A" w14:textId="77777777">
        <w:tc>
          <w:tcPr>
            <w:tcW w:w="8293" w:type="dxa"/>
            <w:gridSpan w:val="2"/>
            <w:tcBorders>
              <w:top w:val="single" w:color="CAC2B8" w:sz="8" w:space="0"/>
              <w:left w:val="single" w:color="CAC2B8" w:sz="8" w:space="0"/>
              <w:bottom w:val="single" w:color="CAC2B8" w:sz="8" w:space="0"/>
              <w:right w:val="single" w:color="CAC2B8" w:sz="8" w:space="0"/>
              <w:tl2br w:val="nil"/>
              <w:tr2bl w:val="nil"/>
            </w:tcBorders>
            <w:shd w:val="clear" w:color="auto" w:fill="D9D9D9" w:themeFill="background1" w:themeFillShade="D9"/>
          </w:tcPr>
          <w:p w:rsidRPr="00E46ED0" w:rsidR="00611D00" w:rsidP="00D15E26" w:rsidRDefault="00611D00" w14:paraId="60EF01C8" w14:textId="77777777">
            <w:pPr>
              <w:jc w:val="both"/>
              <w:outlineLvl w:val="0"/>
              <w:rPr>
                <w:rFonts w:ascii="Arial" w:hAnsi="Arial" w:eastAsia="Arial"/>
                <w:bCs/>
              </w:rPr>
            </w:pPr>
            <w:bookmarkStart w:name="_Toc293961168" w:id="5"/>
            <w:bookmarkStart w:name="_Toc508895010" w:id="6"/>
            <w:bookmarkStart w:name="_Toc523996139" w:id="7"/>
            <w:r w:rsidRPr="00E46ED0">
              <w:rPr>
                <w:rFonts w:ascii="Arial" w:hAnsi="Arial" w:eastAsia="Arial"/>
                <w:bCs/>
              </w:rPr>
              <w:t>Document Information</w:t>
            </w:r>
            <w:bookmarkEnd w:id="5"/>
            <w:bookmarkEnd w:id="6"/>
            <w:bookmarkEnd w:id="7"/>
          </w:p>
        </w:tc>
      </w:tr>
      <w:tr w:rsidRPr="009F6293" w:rsidR="00611D00" w:rsidTr="00D15E26" w14:paraId="011BAC88" w14:textId="77777777">
        <w:tc>
          <w:tcPr>
            <w:tcW w:w="2450" w:type="dxa"/>
            <w:shd w:val="clear" w:color="auto" w:fill="auto"/>
          </w:tcPr>
          <w:p w:rsidRPr="009F6293" w:rsidR="00611D00" w:rsidP="00D15E26" w:rsidRDefault="00611D00" w14:paraId="284F527C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Document Name</w:t>
            </w:r>
          </w:p>
        </w:tc>
        <w:tc>
          <w:tcPr>
            <w:tcW w:w="5843" w:type="dxa"/>
            <w:shd w:val="clear" w:color="auto" w:fill="auto"/>
          </w:tcPr>
          <w:p w:rsidRPr="009F6293" w:rsidR="00611D00" w:rsidP="00D15E26" w:rsidRDefault="00094A81" w14:paraId="061C2748" w14:textId="79D2C775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 xml:space="preserve">Secure </w:t>
            </w:r>
            <w:r w:rsidR="00611D00">
              <w:rPr>
                <w:rFonts w:ascii="Arial" w:hAnsi="Arial" w:eastAsia="Arial"/>
                <w:sz w:val="22"/>
                <w:szCs w:val="22"/>
              </w:rPr>
              <w:t xml:space="preserve">Disposal Procedure </w:t>
            </w:r>
          </w:p>
        </w:tc>
      </w:tr>
      <w:tr w:rsidRPr="009F6293" w:rsidR="00611D00" w:rsidTr="00D15E26" w14:paraId="387C6CCF" w14:textId="77777777">
        <w:tc>
          <w:tcPr>
            <w:tcW w:w="2450" w:type="dxa"/>
            <w:shd w:val="clear" w:color="auto" w:fill="auto"/>
          </w:tcPr>
          <w:p w:rsidRPr="009F6293" w:rsidR="00611D00" w:rsidP="00D15E26" w:rsidRDefault="00611D00" w14:paraId="1DB699CD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Author</w:t>
            </w:r>
          </w:p>
        </w:tc>
        <w:tc>
          <w:tcPr>
            <w:tcW w:w="5843" w:type="dxa"/>
            <w:shd w:val="clear" w:color="auto" w:fill="auto"/>
          </w:tcPr>
          <w:p w:rsidRPr="009F6293" w:rsidR="00611D00" w:rsidP="00D15E26" w:rsidRDefault="00611D00" w14:paraId="01371064" w14:textId="77777777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 xml:space="preserve">Kirsten Hylan, Records Manager </w:t>
            </w:r>
          </w:p>
        </w:tc>
      </w:tr>
      <w:tr w:rsidRPr="009F6293" w:rsidR="00611D00" w:rsidTr="00D15E26" w14:paraId="30E67B5F" w14:textId="77777777">
        <w:tc>
          <w:tcPr>
            <w:tcW w:w="2450" w:type="dxa"/>
            <w:shd w:val="clear" w:color="auto" w:fill="auto"/>
          </w:tcPr>
          <w:p w:rsidRPr="009F6293" w:rsidR="00611D00" w:rsidP="00D15E26" w:rsidRDefault="00611D00" w14:paraId="1867244C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Issue Date</w:t>
            </w:r>
          </w:p>
        </w:tc>
        <w:tc>
          <w:tcPr>
            <w:tcW w:w="5843" w:type="dxa"/>
            <w:shd w:val="clear" w:color="auto" w:fill="auto"/>
          </w:tcPr>
          <w:p w:rsidRPr="009F6293" w:rsidR="00611D00" w:rsidP="00D15E26" w:rsidRDefault="00E724EE" w14:paraId="47E82BD6" w14:textId="120D355E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>26/02/21</w:t>
            </w:r>
          </w:p>
        </w:tc>
      </w:tr>
      <w:tr w:rsidRPr="009F6293" w:rsidR="00611D00" w:rsidTr="00D15E26" w14:paraId="7E3DBF58" w14:textId="77777777">
        <w:tc>
          <w:tcPr>
            <w:tcW w:w="2450" w:type="dxa"/>
            <w:shd w:val="clear" w:color="auto" w:fill="auto"/>
          </w:tcPr>
          <w:p w:rsidRPr="009F6293" w:rsidR="00611D00" w:rsidP="00D15E26" w:rsidRDefault="00611D00" w14:paraId="1517C20F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Approved By</w:t>
            </w:r>
          </w:p>
        </w:tc>
        <w:tc>
          <w:tcPr>
            <w:tcW w:w="5843" w:type="dxa"/>
            <w:shd w:val="clear" w:color="auto" w:fill="auto"/>
          </w:tcPr>
          <w:p w:rsidRPr="009F6293" w:rsidR="00611D00" w:rsidP="00D15E26" w:rsidRDefault="00E724EE" w14:paraId="4B7C650F" w14:textId="46340EEE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>IGSG</w:t>
            </w:r>
          </w:p>
        </w:tc>
      </w:tr>
      <w:tr w:rsidRPr="009F6293" w:rsidR="00611D00" w:rsidTr="00D15E26" w14:paraId="64E44171" w14:textId="77777777">
        <w:tc>
          <w:tcPr>
            <w:tcW w:w="2450" w:type="dxa"/>
            <w:shd w:val="clear" w:color="auto" w:fill="auto"/>
          </w:tcPr>
          <w:p w:rsidRPr="009F6293" w:rsidR="00611D00" w:rsidP="00D15E26" w:rsidRDefault="00611D00" w14:paraId="21E29D70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Last review</w:t>
            </w:r>
          </w:p>
        </w:tc>
        <w:tc>
          <w:tcPr>
            <w:tcW w:w="5843" w:type="dxa"/>
            <w:shd w:val="clear" w:color="auto" w:fill="auto"/>
          </w:tcPr>
          <w:p w:rsidRPr="009F6293" w:rsidR="00611D00" w:rsidP="00D15E26" w:rsidRDefault="00E724EE" w14:paraId="0DBE9EF1" w14:textId="2EC4BC02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>01/12/20</w:t>
            </w:r>
          </w:p>
        </w:tc>
      </w:tr>
      <w:tr w:rsidRPr="009F6293" w:rsidR="00611D00" w:rsidTr="00D15E26" w14:paraId="12D452ED" w14:textId="77777777">
        <w:tc>
          <w:tcPr>
            <w:tcW w:w="2450" w:type="dxa"/>
            <w:shd w:val="clear" w:color="auto" w:fill="auto"/>
          </w:tcPr>
          <w:p w:rsidRPr="009F6293" w:rsidR="00611D00" w:rsidP="00D15E26" w:rsidRDefault="00611D00" w14:paraId="23AF673E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Next review</w:t>
            </w:r>
          </w:p>
        </w:tc>
        <w:tc>
          <w:tcPr>
            <w:tcW w:w="5843" w:type="dxa"/>
            <w:shd w:val="clear" w:color="auto" w:fill="auto"/>
          </w:tcPr>
          <w:p w:rsidRPr="009F6293" w:rsidR="00611D00" w:rsidP="00D15E26" w:rsidRDefault="00E724EE" w14:paraId="1B186B2D" w14:textId="7B577E9A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>01/12/22</w:t>
            </w:r>
            <w:bookmarkStart w:name="_GoBack" w:id="8"/>
            <w:bookmarkEnd w:id="8"/>
          </w:p>
        </w:tc>
      </w:tr>
      <w:tr w:rsidRPr="009F6293" w:rsidR="00611D00" w:rsidTr="00D15E26" w14:paraId="1325779E" w14:textId="77777777">
        <w:trPr>
          <w:trHeight w:val="523"/>
        </w:trPr>
        <w:tc>
          <w:tcPr>
            <w:tcW w:w="2450" w:type="dxa"/>
            <w:shd w:val="clear" w:color="auto" w:fill="auto"/>
          </w:tcPr>
          <w:p w:rsidRPr="009F6293" w:rsidR="00611D00" w:rsidP="00D15E26" w:rsidRDefault="00611D00" w14:paraId="767DFCB3" w14:textId="77777777">
            <w:pPr>
              <w:rPr>
                <w:rFonts w:ascii="Arial" w:hAnsi="Arial" w:eastAsia="Arial"/>
                <w:sz w:val="22"/>
                <w:szCs w:val="22"/>
              </w:rPr>
            </w:pPr>
            <w:r>
              <w:rPr>
                <w:rFonts w:ascii="Arial" w:hAnsi="Arial" w:eastAsia="Arial"/>
                <w:sz w:val="22"/>
                <w:szCs w:val="22"/>
              </w:rPr>
              <w:t xml:space="preserve">Related documents </w:t>
            </w:r>
          </w:p>
        </w:tc>
        <w:tc>
          <w:tcPr>
            <w:tcW w:w="5843" w:type="dxa"/>
            <w:shd w:val="clear" w:color="auto" w:fill="auto"/>
          </w:tcPr>
          <w:p w:rsidRPr="009B2C35" w:rsidR="00611D00" w:rsidP="00611D00" w:rsidRDefault="00611D00" w14:paraId="5A545E7B" w14:textId="77777777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009B2C35">
              <w:rPr>
                <w:rFonts w:eastAsia="Arial"/>
                <w:sz w:val="22"/>
                <w:szCs w:val="22"/>
              </w:rPr>
              <w:t>The Retention Schedules</w:t>
            </w:r>
          </w:p>
          <w:p w:rsidR="00611D00" w:rsidP="00611D00" w:rsidRDefault="00611D00" w14:paraId="71B96D79" w14:textId="77777777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 w:rsidRPr="009B2C35">
              <w:rPr>
                <w:rFonts w:eastAsia="Arial"/>
                <w:sz w:val="22"/>
                <w:szCs w:val="22"/>
              </w:rPr>
              <w:t>Records Management Polic</w:t>
            </w:r>
            <w:r>
              <w:rPr>
                <w:rFonts w:eastAsia="Arial"/>
                <w:sz w:val="22"/>
                <w:szCs w:val="22"/>
              </w:rPr>
              <w:t>y</w:t>
            </w:r>
          </w:p>
          <w:p w:rsidRPr="009B2C35" w:rsidR="00611D00" w:rsidP="00611D00" w:rsidRDefault="00611D00" w14:paraId="71A99E29" w14:textId="77777777">
            <w:pPr>
              <w:pStyle w:val="ListParagraph"/>
              <w:numPr>
                <w:ilvl w:val="0"/>
                <w:numId w:val="2"/>
              </w:num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IT Account Closures </w:t>
            </w:r>
          </w:p>
        </w:tc>
      </w:tr>
    </w:tbl>
    <w:p w:rsidRPr="009F6293" w:rsidR="00611D00" w:rsidP="00611D00" w:rsidRDefault="00611D00" w14:paraId="1F6AB175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CAC2B8" w:sz="8" w:space="0"/>
          <w:left w:val="single" w:color="CAC2B8" w:sz="8" w:space="0"/>
          <w:bottom w:val="single" w:color="CAC2B8" w:sz="8" w:space="0"/>
          <w:right w:val="single" w:color="CAC2B8" w:sz="8" w:space="0"/>
          <w:insideH w:val="single" w:color="CAC2B8" w:sz="8" w:space="0"/>
          <w:insideV w:val="single" w:color="CAC2B8" w:sz="8" w:space="0"/>
        </w:tblBorders>
        <w:tblLook w:val="0420" w:firstRow="1" w:lastRow="0" w:firstColumn="0" w:lastColumn="0" w:noHBand="0" w:noVBand="1"/>
      </w:tblPr>
      <w:tblGrid>
        <w:gridCol w:w="1075"/>
        <w:gridCol w:w="1418"/>
        <w:gridCol w:w="5800"/>
      </w:tblGrid>
      <w:tr w:rsidRPr="009F6293" w:rsidR="00611D00" w:rsidTr="00D15E26" w14:paraId="70F47042" w14:textId="77777777">
        <w:tc>
          <w:tcPr>
            <w:tcW w:w="8293" w:type="dxa"/>
            <w:gridSpan w:val="3"/>
            <w:tcBorders>
              <w:top w:val="single" w:color="CAC2B8" w:sz="8" w:space="0"/>
              <w:left w:val="single" w:color="CAC2B8" w:sz="8" w:space="0"/>
              <w:bottom w:val="single" w:color="CAC2B8" w:sz="8" w:space="0"/>
              <w:right w:val="single" w:color="CAC2B8" w:sz="8" w:space="0"/>
              <w:tl2br w:val="nil"/>
              <w:tr2bl w:val="nil"/>
            </w:tcBorders>
            <w:shd w:val="clear" w:color="auto" w:fill="D9D9D9" w:themeFill="background1" w:themeFillShade="D9"/>
          </w:tcPr>
          <w:p w:rsidRPr="00E46ED0" w:rsidR="00611D00" w:rsidP="00D15E26" w:rsidRDefault="00611D00" w14:paraId="5B268CCD" w14:textId="77777777">
            <w:pPr>
              <w:outlineLvl w:val="0"/>
              <w:rPr>
                <w:rFonts w:ascii="Arial" w:hAnsi="Arial" w:eastAsia="Arial"/>
                <w:bCs/>
              </w:rPr>
            </w:pPr>
            <w:bookmarkStart w:name="_Toc293961169" w:id="9"/>
            <w:bookmarkStart w:name="_Toc508895011" w:id="10"/>
            <w:bookmarkStart w:name="_Toc523996140" w:id="11"/>
            <w:r w:rsidRPr="00E46ED0">
              <w:rPr>
                <w:rFonts w:ascii="Arial" w:hAnsi="Arial" w:eastAsia="Arial"/>
                <w:bCs/>
              </w:rPr>
              <w:t>Document History</w:t>
            </w:r>
            <w:bookmarkEnd w:id="9"/>
            <w:bookmarkEnd w:id="10"/>
            <w:bookmarkEnd w:id="11"/>
          </w:p>
        </w:tc>
      </w:tr>
      <w:tr w:rsidRPr="009F6293" w:rsidR="00611D00" w:rsidTr="00D15E26" w14:paraId="4E9D4D79" w14:textId="77777777">
        <w:tc>
          <w:tcPr>
            <w:tcW w:w="1075" w:type="dxa"/>
            <w:shd w:val="clear" w:color="auto" w:fill="auto"/>
          </w:tcPr>
          <w:p w:rsidRPr="009F6293" w:rsidR="00611D00" w:rsidP="00D15E26" w:rsidRDefault="00611D00" w14:paraId="6C83815F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Version</w:t>
            </w:r>
          </w:p>
        </w:tc>
        <w:tc>
          <w:tcPr>
            <w:tcW w:w="1418" w:type="dxa"/>
            <w:shd w:val="clear" w:color="auto" w:fill="auto"/>
          </w:tcPr>
          <w:p w:rsidRPr="009F6293" w:rsidR="00611D00" w:rsidP="00D15E26" w:rsidRDefault="00611D00" w14:paraId="0C06FAD9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Date</w:t>
            </w:r>
          </w:p>
        </w:tc>
        <w:tc>
          <w:tcPr>
            <w:tcW w:w="5800" w:type="dxa"/>
            <w:shd w:val="clear" w:color="auto" w:fill="auto"/>
          </w:tcPr>
          <w:p w:rsidRPr="009F6293" w:rsidR="00611D00" w:rsidP="00D15E26" w:rsidRDefault="00611D00" w14:paraId="02D20883" w14:textId="77777777">
            <w:pPr>
              <w:rPr>
                <w:rFonts w:ascii="Arial" w:hAnsi="Arial" w:eastAsia="Arial"/>
                <w:sz w:val="22"/>
                <w:szCs w:val="22"/>
              </w:rPr>
            </w:pPr>
            <w:r w:rsidRPr="009F6293">
              <w:rPr>
                <w:rFonts w:ascii="Arial" w:hAnsi="Arial" w:eastAsia="Arial"/>
                <w:sz w:val="22"/>
                <w:szCs w:val="22"/>
              </w:rPr>
              <w:t>Summary of change</w:t>
            </w:r>
          </w:p>
        </w:tc>
      </w:tr>
      <w:tr w:rsidRPr="00FC76D5" w:rsidR="00611D00" w:rsidTr="00D15E26" w14:paraId="3EEE3AD2" w14:textId="77777777">
        <w:tc>
          <w:tcPr>
            <w:tcW w:w="1075" w:type="dxa"/>
            <w:shd w:val="clear" w:color="auto" w:fill="auto"/>
          </w:tcPr>
          <w:p w:rsidRPr="00FC76D5" w:rsidR="00611D00" w:rsidP="00D15E26" w:rsidRDefault="00611D00" w14:paraId="03B20A88" w14:textId="77777777">
            <w:pPr>
              <w:rPr>
                <w:rFonts w:ascii="Arial" w:hAnsi="Arial" w:eastAsia="Arial"/>
              </w:rPr>
            </w:pPr>
            <w:r>
              <w:rPr>
                <w:rFonts w:ascii="Arial" w:hAnsi="Arial" w:eastAsia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Pr="00FC76D5" w:rsidR="00611D00" w:rsidP="00D15E26" w:rsidRDefault="00611D00" w14:paraId="604AB947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5800" w:type="dxa"/>
            <w:shd w:val="clear" w:color="auto" w:fill="auto"/>
          </w:tcPr>
          <w:p w:rsidRPr="00FC76D5" w:rsidR="00611D00" w:rsidP="00D15E26" w:rsidRDefault="00611D00" w14:paraId="2DB2C9A3" w14:textId="77777777">
            <w:pPr>
              <w:rPr>
                <w:rFonts w:ascii="Arial" w:hAnsi="Arial" w:eastAsia="Arial"/>
              </w:rPr>
            </w:pPr>
          </w:p>
        </w:tc>
      </w:tr>
      <w:tr w:rsidRPr="00FC76D5" w:rsidR="00611D00" w:rsidTr="00D15E26" w14:paraId="45B88942" w14:textId="77777777">
        <w:tc>
          <w:tcPr>
            <w:tcW w:w="1075" w:type="dxa"/>
            <w:shd w:val="clear" w:color="auto" w:fill="auto"/>
          </w:tcPr>
          <w:p w:rsidRPr="00FC76D5" w:rsidR="00611D00" w:rsidP="00D15E26" w:rsidRDefault="00611D00" w14:paraId="54536480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1418" w:type="dxa"/>
            <w:shd w:val="clear" w:color="auto" w:fill="auto"/>
          </w:tcPr>
          <w:p w:rsidRPr="00FC76D5" w:rsidR="00611D00" w:rsidP="00D15E26" w:rsidRDefault="00611D00" w14:paraId="1E437704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5800" w:type="dxa"/>
            <w:shd w:val="clear" w:color="auto" w:fill="auto"/>
          </w:tcPr>
          <w:p w:rsidRPr="00FC76D5" w:rsidR="00611D00" w:rsidP="00D15E26" w:rsidRDefault="00611D00" w14:paraId="1D39993D" w14:textId="77777777">
            <w:pPr>
              <w:rPr>
                <w:rFonts w:ascii="Arial" w:hAnsi="Arial" w:eastAsia="Arial"/>
              </w:rPr>
            </w:pPr>
          </w:p>
        </w:tc>
      </w:tr>
      <w:tr w:rsidRPr="00FC76D5" w:rsidR="00611D00" w:rsidTr="00D15E26" w14:paraId="517BF3BA" w14:textId="77777777">
        <w:tc>
          <w:tcPr>
            <w:tcW w:w="1075" w:type="dxa"/>
            <w:shd w:val="clear" w:color="auto" w:fill="auto"/>
          </w:tcPr>
          <w:p w:rsidRPr="00FC76D5" w:rsidR="00611D00" w:rsidP="00D15E26" w:rsidRDefault="00611D00" w14:paraId="5376897C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1418" w:type="dxa"/>
            <w:shd w:val="clear" w:color="auto" w:fill="auto"/>
          </w:tcPr>
          <w:p w:rsidRPr="00FC76D5" w:rsidR="00611D00" w:rsidP="00D15E26" w:rsidRDefault="00611D00" w14:paraId="05853217" w14:textId="77777777">
            <w:pPr>
              <w:rPr>
                <w:rFonts w:ascii="Arial" w:hAnsi="Arial" w:eastAsia="Arial"/>
              </w:rPr>
            </w:pPr>
          </w:p>
        </w:tc>
        <w:tc>
          <w:tcPr>
            <w:tcW w:w="5800" w:type="dxa"/>
            <w:shd w:val="clear" w:color="auto" w:fill="auto"/>
          </w:tcPr>
          <w:p w:rsidRPr="00FC76D5" w:rsidR="00611D00" w:rsidP="00D15E26" w:rsidRDefault="00611D00" w14:paraId="61DF603D" w14:textId="77777777">
            <w:pPr>
              <w:rPr>
                <w:rFonts w:ascii="Arial" w:hAnsi="Arial" w:eastAsia="Arial"/>
              </w:rPr>
            </w:pPr>
          </w:p>
        </w:tc>
      </w:tr>
    </w:tbl>
    <w:p w:rsidR="00611D00" w:rsidP="00611D00" w:rsidRDefault="00611D00" w14:paraId="1B42122B" w14:textId="77777777"/>
    <w:sectPr w:rsidR="00611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CC3"/>
    <w:multiLevelType w:val="hybridMultilevel"/>
    <w:tmpl w:val="651442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05951"/>
    <w:multiLevelType w:val="hybridMultilevel"/>
    <w:tmpl w:val="651442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3778F"/>
    <w:multiLevelType w:val="hybridMultilevel"/>
    <w:tmpl w:val="D44605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2E072A"/>
    <w:multiLevelType w:val="hybridMultilevel"/>
    <w:tmpl w:val="1F348232"/>
    <w:lvl w:ilvl="0" w:tplc="489881D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46775"/>
    <w:multiLevelType w:val="multilevel"/>
    <w:tmpl w:val="DB98D82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00"/>
    <w:rsid w:val="00094A81"/>
    <w:rsid w:val="000A7298"/>
    <w:rsid w:val="00611D00"/>
    <w:rsid w:val="0066246A"/>
    <w:rsid w:val="00765965"/>
    <w:rsid w:val="00770AA8"/>
    <w:rsid w:val="007D7A8C"/>
    <w:rsid w:val="00BC484A"/>
    <w:rsid w:val="00E724EE"/>
    <w:rsid w:val="00ED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BC09"/>
  <w15:chartTrackingRefBased/>
  <w15:docId w15:val="{D48061CE-4117-404D-90DE-40CAB400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D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11D0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11D00"/>
    <w:pPr>
      <w:spacing w:after="100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11D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611D00"/>
    <w:pPr>
      <w:tabs>
        <w:tab w:val="left" w:pos="567"/>
      </w:tabs>
      <w:ind w:left="720" w:hanging="567"/>
      <w:contextualSpacing/>
    </w:pPr>
    <w:rPr>
      <w:rFonts w:ascii="Arial" w:eastAsia="SimSun" w:hAnsi="Arial" w:cs="Arial"/>
      <w:sz w:val="20"/>
      <w:szCs w:val="20"/>
      <w:lang w:val="en-AU" w:eastAsia="zh-CN"/>
    </w:rPr>
  </w:style>
  <w:style w:type="character" w:styleId="CommentReference">
    <w:name w:val="annotation reference"/>
    <w:basedOn w:val="DefaultParagraphFont"/>
    <w:rsid w:val="00611D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1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D0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11D00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0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7A8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A8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0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ite.services@sgul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te.services@sgul.ac.uk" TargetMode="External"/><Relationship Id="rId17" Type="http://schemas.openxmlformats.org/officeDocument/2006/relationships/hyperlink" Target="https://www.sgul.ac.uk/about/governance/documents/Records-Disposal-Form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gul.ac.uk/about/governance/policies/retention-and-disposa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hylan@sgul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gul.ac.uk/about/governance/policies/it-account-closures" TargetMode="External"/><Relationship Id="rId10" Type="http://schemas.openxmlformats.org/officeDocument/2006/relationships/hyperlink" Target="https://www.sgul.ac.uk/about/governance/documents/Records-Disposal-Form.docx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sgul.ac.uk/images/docs/pdfs/May_2018_Retention_Schedules.pdf" TargetMode="External"/><Relationship Id="rId14" Type="http://schemas.openxmlformats.org/officeDocument/2006/relationships/hyperlink" Target="https://www.sgul.ac.uk/about/our-institutes/institute-of-medical-and-biomedical-education/imbe-life/estates-and-wa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CA6C1360A514CA580FCCB19144DD4" ma:contentTypeVersion="4" ma:contentTypeDescription="Create a new document." ma:contentTypeScope="" ma:versionID="2dd557fd3e8aad45c2efd752edd6149a">
  <xsd:schema xmlns:xsd="http://www.w3.org/2001/XMLSchema" xmlns:xs="http://www.w3.org/2001/XMLSchema" xmlns:p="http://schemas.microsoft.com/office/2006/metadata/properties" xmlns:ns2="614e56b1-c11b-49db-be59-e12d88a0a1e8" targetNamespace="http://schemas.microsoft.com/office/2006/metadata/properties" ma:root="true" ma:fieldsID="060c2f00bbec5d374e6ece45c5413ead" ns2:_="">
    <xsd:import namespace="614e56b1-c11b-49db-be59-e12d88a0a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e56b1-c11b-49db-be59-e12d88a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FCEF7-EFBD-4481-89F2-1B14B27307E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14e56b1-c11b-49db-be59-e12d88a0a1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3528D8-B467-45FB-AB71-DE1102BD5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B1D75-70BC-47DD-B919-BA9BCE239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e56b1-c11b-49db-be59-e12d88a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Secure Disposal Procedure</dc:title>
  <dc:subject>
  </dc:subject>
  <dc:creator>Kirsten Hylan</dc:creator>
  <cp:keywords>
  </cp:keywords>
  <dc:description>
  </dc:description>
  <cp:lastModifiedBy>Sean Sebastian</cp:lastModifiedBy>
  <cp:revision>4</cp:revision>
  <dcterms:created xsi:type="dcterms:W3CDTF">2020-12-01T16:45:00Z</dcterms:created>
  <dcterms:modified xsi:type="dcterms:W3CDTF">2021-03-01T11:46:45Z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0x0101002F9CA6C1360A514CA580FCCB19144DD4</vt:lpwstr>
  </property>
</Properties>
</file>