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5402" w:rsidR="00CC5402" w:rsidP="00CC5402" w:rsidRDefault="00CC5402" w14:paraId="65B5507C" w14:textId="77777777"/>
    <w:p w:rsidR="00DB5DE3" w:rsidRDefault="00DB5DE3" w14:paraId="2AD8AF16" w14:textId="77777777">
      <w:pPr>
        <w:rPr>
          <w:sz w:val="20"/>
        </w:rPr>
      </w:pPr>
      <w:bookmarkStart w:name="_GoBack" w:id="0"/>
      <w:bookmarkEnd w:id="0"/>
    </w:p>
    <w:p w:rsidR="00DB5DE3" w:rsidRDefault="00DB5DE3" w14:paraId="55C1AB45" w14:textId="77777777">
      <w:pPr>
        <w:rPr>
          <w:noProof/>
          <w:sz w:val="20"/>
        </w:rPr>
      </w:pPr>
    </w:p>
    <w:tbl>
      <w:tblPr>
        <w:tblStyle w:val="TableGrid"/>
        <w:tblW w:w="9356" w:type="dxa"/>
        <w:tblInd w:w="-459" w:type="dxa"/>
        <w:tblLook w:val="01E0" w:firstRow="1" w:lastRow="1" w:firstColumn="1" w:lastColumn="1" w:noHBand="0" w:noVBand="0"/>
      </w:tblPr>
      <w:tblGrid>
        <w:gridCol w:w="6096"/>
        <w:gridCol w:w="3260"/>
      </w:tblGrid>
      <w:tr w:rsidR="001E22E1" w:rsidTr="00125712" w14:paraId="0338760D" w14:textId="77777777">
        <w:trPr>
          <w:trHeight w:val="848"/>
        </w:trPr>
        <w:tc>
          <w:tcPr>
            <w:tcW w:w="6096" w:type="dxa"/>
          </w:tcPr>
          <w:p w:rsidRPr="001E22E1" w:rsidR="001E22E1" w:rsidP="00125712" w:rsidRDefault="001E22E1" w14:paraId="49545DFF" w14:textId="77777777">
            <w:pPr>
              <w:rPr>
                <w:rFonts w:cs="Arial"/>
                <w:sz w:val="20"/>
                <w:szCs w:val="20"/>
              </w:rPr>
            </w:pPr>
          </w:p>
          <w:p w:rsidRPr="001E22E1" w:rsidR="001E22E1" w:rsidP="00125712" w:rsidRDefault="001E22E1" w14:paraId="44A6E1CB" w14:textId="4F1265BC">
            <w:pPr>
              <w:pStyle w:val="Heading1"/>
              <w:outlineLvl w:val="0"/>
              <w:rPr>
                <w:sz w:val="20"/>
                <w:szCs w:val="20"/>
              </w:rPr>
            </w:pPr>
            <w:bookmarkStart w:name="_Toc15551874" w:id="1"/>
            <w:bookmarkStart w:name="_Toc115692115" w:id="2"/>
            <w:r w:rsidRPr="001E22E1">
              <w:rPr>
                <w:sz w:val="20"/>
                <w:szCs w:val="20"/>
              </w:rPr>
              <w:t>SOP Title Reference:</w:t>
            </w:r>
            <w:r w:rsidRPr="001E22E1">
              <w:rPr>
                <w:sz w:val="20"/>
                <w:szCs w:val="20"/>
              </w:rPr>
              <w:t xml:space="preserve"> Freedom of Information</w:t>
            </w:r>
            <w:r w:rsidRPr="001E22E1">
              <w:rPr>
                <w:sz w:val="20"/>
                <w:szCs w:val="20"/>
              </w:rPr>
              <w:t xml:space="preserve"> Policy</w:t>
            </w:r>
            <w:bookmarkEnd w:id="1"/>
            <w:bookmarkEnd w:id="2"/>
            <w:r w:rsidRPr="001E22E1">
              <w:rPr>
                <w:sz w:val="20"/>
                <w:szCs w:val="20"/>
              </w:rPr>
              <w:t xml:space="preserve">   </w:t>
            </w:r>
          </w:p>
        </w:tc>
        <w:tc>
          <w:tcPr>
            <w:tcW w:w="3260" w:type="dxa"/>
            <w:vMerge w:val="restart"/>
          </w:tcPr>
          <w:p w:rsidR="001E22E1" w:rsidP="00125712" w:rsidRDefault="001E22E1" w14:paraId="513100A3" w14:textId="77777777">
            <w:pPr>
              <w:rPr>
                <w:rFonts w:cs="Arial"/>
              </w:rPr>
            </w:pPr>
            <w:r>
              <w:rPr>
                <w:rFonts w:cs="Arial"/>
                <w:noProof/>
                <w:lang w:eastAsia="en-GB"/>
              </w:rPr>
              <w:drawing>
                <wp:anchor distT="0" distB="0" distL="114300" distR="114300" simplePos="0" relativeHeight="251659264" behindDoc="0" locked="0" layoutInCell="1" allowOverlap="1" wp14:editId="79971827" wp14:anchorId="043B7F81">
                  <wp:simplePos x="0" y="0"/>
                  <wp:positionH relativeFrom="column">
                    <wp:posOffset>-26035</wp:posOffset>
                  </wp:positionH>
                  <wp:positionV relativeFrom="paragraph">
                    <wp:posOffset>79375</wp:posOffset>
                  </wp:positionV>
                  <wp:extent cx="1972310" cy="922020"/>
                  <wp:effectExtent l="0" t="0" r="8890" b="0"/>
                  <wp:wrapNone/>
                  <wp:docPr id="20" name="Picture 20"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mediu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7231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2E1" w:rsidP="00125712" w:rsidRDefault="001E22E1" w14:paraId="5FF24986" w14:textId="77777777">
            <w:pPr>
              <w:rPr>
                <w:rFonts w:cs="Arial"/>
              </w:rPr>
            </w:pPr>
          </w:p>
          <w:p w:rsidR="001E22E1" w:rsidP="00125712" w:rsidRDefault="001E22E1" w14:paraId="6CFB917D" w14:textId="77777777">
            <w:pPr>
              <w:rPr>
                <w:rFonts w:cs="Arial"/>
              </w:rPr>
            </w:pPr>
          </w:p>
          <w:p w:rsidR="001E22E1" w:rsidP="00125712" w:rsidRDefault="001E22E1" w14:paraId="0A095343" w14:textId="77777777">
            <w:pPr>
              <w:rPr>
                <w:rFonts w:cs="Arial"/>
              </w:rPr>
            </w:pPr>
          </w:p>
          <w:p w:rsidR="001E22E1" w:rsidP="00125712" w:rsidRDefault="001E22E1" w14:paraId="22CBE5B8" w14:textId="77777777">
            <w:pPr>
              <w:rPr>
                <w:rFonts w:cs="Arial"/>
              </w:rPr>
            </w:pPr>
          </w:p>
        </w:tc>
      </w:tr>
      <w:tr w:rsidR="001E22E1" w:rsidTr="00125712" w14:paraId="4F73E1AB" w14:textId="77777777">
        <w:trPr>
          <w:trHeight w:val="847"/>
        </w:trPr>
        <w:tc>
          <w:tcPr>
            <w:tcW w:w="6096" w:type="dxa"/>
          </w:tcPr>
          <w:p w:rsidRPr="00C6009F" w:rsidR="001E22E1" w:rsidP="00125712" w:rsidRDefault="001E22E1" w14:paraId="281578A9" w14:textId="77777777">
            <w:pPr>
              <w:spacing w:before="240"/>
              <w:rPr>
                <w:rFonts w:cs="Arial"/>
              </w:rPr>
            </w:pPr>
            <w:r w:rsidRPr="00C6009F">
              <w:rPr>
                <w:rFonts w:cs="Arial"/>
                <w:sz w:val="20"/>
                <w:szCs w:val="20"/>
              </w:rPr>
              <w:t>Author:</w:t>
            </w:r>
            <w:r w:rsidRPr="00C6009F">
              <w:rPr>
                <w:rFonts w:cs="Arial"/>
              </w:rPr>
              <w:t xml:space="preserve"> </w:t>
            </w:r>
            <w:r>
              <w:rPr>
                <w:rFonts w:cs="Arial"/>
              </w:rPr>
              <w:t>GLAS</w:t>
            </w:r>
          </w:p>
          <w:p w:rsidR="001E22E1" w:rsidP="00125712" w:rsidRDefault="001E22E1" w14:paraId="5AC2BE1E" w14:textId="77777777">
            <w:pPr>
              <w:rPr>
                <w:rFonts w:cs="Arial"/>
              </w:rPr>
            </w:pPr>
          </w:p>
        </w:tc>
        <w:tc>
          <w:tcPr>
            <w:tcW w:w="3260" w:type="dxa"/>
            <w:vMerge/>
          </w:tcPr>
          <w:p w:rsidR="001E22E1" w:rsidP="00125712" w:rsidRDefault="001E22E1" w14:paraId="7C0463C1" w14:textId="77777777">
            <w:pPr>
              <w:rPr>
                <w:rFonts w:cs="Arial"/>
                <w:noProof/>
                <w:lang w:val="en-US"/>
              </w:rPr>
            </w:pPr>
          </w:p>
        </w:tc>
      </w:tr>
      <w:tr w:rsidR="001E22E1" w:rsidTr="00125712" w14:paraId="23059BF0" w14:textId="77777777">
        <w:trPr>
          <w:trHeight w:val="10762"/>
        </w:trPr>
        <w:tc>
          <w:tcPr>
            <w:tcW w:w="9356" w:type="dxa"/>
            <w:gridSpan w:val="2"/>
            <w:tcBorders>
              <w:bottom w:val="single" w:color="auto" w:sz="4" w:space="0"/>
            </w:tcBorders>
          </w:tcPr>
          <w:p w:rsidR="001E22E1" w:rsidP="00125712" w:rsidRDefault="001E22E1" w14:paraId="2BA52F05" w14:textId="77777777">
            <w:pPr>
              <w:rPr>
                <w:rFonts w:cs="Arial"/>
              </w:rPr>
            </w:pPr>
          </w:p>
          <w:p w:rsidR="001E22E1" w:rsidP="00125712" w:rsidRDefault="001E22E1" w14:paraId="7B099ABF" w14:textId="77777777">
            <w:pPr>
              <w:rPr>
                <w:rFonts w:cs="Arial"/>
              </w:rPr>
            </w:pPr>
          </w:p>
          <w:p w:rsidR="001E22E1" w:rsidP="00125712" w:rsidRDefault="001E22E1" w14:paraId="3A82799D" w14:textId="77777777">
            <w:pPr>
              <w:rPr>
                <w:rFonts w:cs="Arial"/>
              </w:rPr>
            </w:pPr>
          </w:p>
          <w:p w:rsidR="001E22E1" w:rsidP="00125712" w:rsidRDefault="001E22E1" w14:paraId="3A8048FD" w14:textId="77777777">
            <w:pPr>
              <w:rPr>
                <w:rFonts w:cs="Arial"/>
              </w:rPr>
            </w:pPr>
          </w:p>
          <w:p w:rsidR="001E22E1" w:rsidP="001E22E1" w:rsidRDefault="001E22E1" w14:paraId="667CDA4A" w14:textId="77777777">
            <w:pPr>
              <w:jc w:val="center"/>
              <w:rPr>
                <w:rFonts w:cs="Arial"/>
              </w:rPr>
            </w:pPr>
          </w:p>
          <w:p w:rsidR="001E22E1" w:rsidP="001E22E1" w:rsidRDefault="001E22E1" w14:paraId="5ECF348E" w14:textId="77777777">
            <w:pPr>
              <w:jc w:val="center"/>
              <w:rPr>
                <w:rFonts w:cs="Arial"/>
              </w:rPr>
            </w:pPr>
          </w:p>
          <w:p w:rsidR="001E22E1" w:rsidP="001E22E1" w:rsidRDefault="001E22E1" w14:paraId="4E200619" w14:textId="77777777">
            <w:pPr>
              <w:jc w:val="center"/>
              <w:rPr>
                <w:rFonts w:cs="Arial"/>
              </w:rPr>
            </w:pPr>
          </w:p>
          <w:p w:rsidR="001E22E1" w:rsidP="001E22E1" w:rsidRDefault="001E22E1" w14:paraId="3D96D71B" w14:textId="77777777">
            <w:pPr>
              <w:jc w:val="center"/>
              <w:rPr>
                <w:rFonts w:cs="Arial"/>
              </w:rPr>
            </w:pPr>
          </w:p>
          <w:p w:rsidR="001E22E1" w:rsidP="001E22E1" w:rsidRDefault="001E22E1" w14:paraId="5EC70178" w14:textId="77777777">
            <w:pPr>
              <w:jc w:val="center"/>
              <w:rPr>
                <w:rFonts w:cs="Arial"/>
                <w:b/>
                <w:sz w:val="52"/>
                <w:szCs w:val="52"/>
              </w:rPr>
            </w:pPr>
          </w:p>
          <w:p w:rsidRPr="00AD49F6" w:rsidR="001E22E1" w:rsidP="001E22E1" w:rsidRDefault="001E22E1" w14:paraId="1390508F" w14:textId="77777777">
            <w:pPr>
              <w:jc w:val="center"/>
              <w:rPr>
                <w:rFonts w:cs="Arial"/>
                <w:b/>
                <w:sz w:val="56"/>
                <w:szCs w:val="56"/>
              </w:rPr>
            </w:pPr>
            <w:r>
              <w:rPr>
                <w:rFonts w:cs="Arial"/>
                <w:b/>
                <w:sz w:val="56"/>
                <w:szCs w:val="56"/>
              </w:rPr>
              <w:t xml:space="preserve">GLAS </w:t>
            </w:r>
            <w:r w:rsidRPr="00AD49F6">
              <w:rPr>
                <w:rFonts w:cs="Arial"/>
                <w:b/>
                <w:sz w:val="56"/>
                <w:szCs w:val="56"/>
              </w:rPr>
              <w:t>Policies and Procedures</w:t>
            </w:r>
          </w:p>
          <w:p w:rsidR="001E22E1" w:rsidP="001E22E1" w:rsidRDefault="001E22E1" w14:paraId="226F2A02" w14:textId="77777777">
            <w:pPr>
              <w:jc w:val="center"/>
              <w:rPr>
                <w:rFonts w:cs="Arial"/>
              </w:rPr>
            </w:pPr>
          </w:p>
          <w:p w:rsidR="001E22E1" w:rsidP="001E22E1" w:rsidRDefault="001E22E1" w14:paraId="1DAB6113" w14:textId="77777777">
            <w:pPr>
              <w:jc w:val="center"/>
              <w:rPr>
                <w:rFonts w:cs="Arial"/>
              </w:rPr>
            </w:pPr>
          </w:p>
          <w:p w:rsidR="001E22E1" w:rsidP="001E22E1" w:rsidRDefault="001E22E1" w14:paraId="52B7E148" w14:textId="77777777">
            <w:pPr>
              <w:jc w:val="center"/>
              <w:rPr>
                <w:rFonts w:cs="Arial"/>
              </w:rPr>
            </w:pPr>
          </w:p>
          <w:p w:rsidR="001E22E1" w:rsidP="001E22E1" w:rsidRDefault="001E22E1" w14:paraId="734A56A7" w14:textId="77777777">
            <w:pPr>
              <w:jc w:val="center"/>
              <w:rPr>
                <w:rFonts w:cs="Arial"/>
              </w:rPr>
            </w:pPr>
          </w:p>
          <w:p w:rsidR="001E22E1" w:rsidP="001E22E1" w:rsidRDefault="001E22E1" w14:paraId="05EB3A29" w14:textId="77777777">
            <w:pPr>
              <w:jc w:val="center"/>
              <w:rPr>
                <w:rFonts w:cs="Arial"/>
                <w:sz w:val="48"/>
                <w:szCs w:val="48"/>
              </w:rPr>
            </w:pPr>
          </w:p>
          <w:p w:rsidRPr="00523DC5" w:rsidR="001E22E1" w:rsidP="001E22E1" w:rsidRDefault="001E22E1" w14:paraId="2C22E32E" w14:textId="43423E08">
            <w:pPr>
              <w:pStyle w:val="Heading1"/>
              <w:jc w:val="center"/>
              <w:outlineLvl w:val="0"/>
              <w:rPr>
                <w:sz w:val="48"/>
                <w:szCs w:val="48"/>
              </w:rPr>
            </w:pPr>
            <w:bookmarkStart w:name="_Toc15551875" w:id="3"/>
            <w:bookmarkStart w:name="_Toc115692116" w:id="4"/>
            <w:r>
              <w:rPr>
                <w:sz w:val="48"/>
                <w:szCs w:val="48"/>
              </w:rPr>
              <w:t xml:space="preserve">Freedom of Information </w:t>
            </w:r>
            <w:r w:rsidRPr="00523DC5">
              <w:rPr>
                <w:sz w:val="48"/>
                <w:szCs w:val="48"/>
              </w:rPr>
              <w:t>Policy</w:t>
            </w:r>
            <w:bookmarkEnd w:id="3"/>
            <w:bookmarkEnd w:id="4"/>
          </w:p>
          <w:p w:rsidR="001E22E1" w:rsidP="001E22E1" w:rsidRDefault="001E22E1" w14:paraId="51721C99" w14:textId="77777777">
            <w:pPr>
              <w:jc w:val="center"/>
              <w:rPr>
                <w:rFonts w:cs="Arial"/>
              </w:rPr>
            </w:pPr>
          </w:p>
          <w:p w:rsidR="001E22E1" w:rsidP="00125712" w:rsidRDefault="001E22E1" w14:paraId="21BFFEF6" w14:textId="77777777">
            <w:pPr>
              <w:rPr>
                <w:rFonts w:cs="Arial"/>
              </w:rPr>
            </w:pPr>
          </w:p>
          <w:p w:rsidRPr="00E46ED0" w:rsidR="001E22E1" w:rsidP="00125712" w:rsidRDefault="001E22E1" w14:paraId="5DA4F3FD" w14:textId="77777777">
            <w:pPr>
              <w:rPr>
                <w:rFonts w:cs="Arial"/>
              </w:rPr>
            </w:pPr>
          </w:p>
          <w:p w:rsidR="001E22E1" w:rsidP="00125712" w:rsidRDefault="001E22E1" w14:paraId="1C311BD6" w14:textId="77777777">
            <w:pPr>
              <w:rPr>
                <w:rFonts w:cs="Arial"/>
              </w:rPr>
            </w:pPr>
          </w:p>
        </w:tc>
      </w:tr>
      <w:tr w:rsidR="001E22E1" w:rsidTr="00125712" w14:paraId="7EF12593" w14:textId="77777777">
        <w:trPr>
          <w:trHeight w:val="842"/>
        </w:trPr>
        <w:tc>
          <w:tcPr>
            <w:tcW w:w="9356" w:type="dxa"/>
            <w:gridSpan w:val="2"/>
          </w:tcPr>
          <w:p w:rsidR="001E22E1" w:rsidP="00125712" w:rsidRDefault="001E22E1" w14:paraId="293C0CB2" w14:textId="77777777">
            <w:pPr>
              <w:rPr>
                <w:rFonts w:cs="Arial"/>
              </w:rPr>
            </w:pPr>
          </w:p>
          <w:p w:rsidRPr="009F6293" w:rsidR="001E22E1" w:rsidP="00125712" w:rsidRDefault="001E22E1" w14:paraId="7FBFDF94" w14:textId="77777777">
            <w:pPr>
              <w:spacing w:before="240"/>
              <w:jc w:val="right"/>
              <w:rPr>
                <w:rFonts w:cs="Arial"/>
                <w:lang w:val="en-US"/>
              </w:rPr>
            </w:pPr>
            <w:r w:rsidRPr="009F6293">
              <w:rPr>
                <w:rFonts w:cs="Arial"/>
                <w:lang w:val="en-US"/>
              </w:rPr>
              <w:t>St George's, University of London, Cranmer Terrace, London  SW17 0RE</w:t>
            </w:r>
          </w:p>
        </w:tc>
      </w:tr>
    </w:tbl>
    <w:p w:rsidR="00DC1C4A" w:rsidRDefault="00DC1C4A" w14:paraId="20F6F290" w14:textId="77777777">
      <w:pPr>
        <w:tabs>
          <w:tab w:val="left" w:pos="426"/>
          <w:tab w:val="left" w:pos="1418"/>
          <w:tab w:val="left" w:pos="1843"/>
          <w:tab w:val="left" w:pos="3544"/>
          <w:tab w:val="left" w:pos="3969"/>
          <w:tab w:val="left" w:pos="6237"/>
          <w:tab w:val="left" w:pos="6663"/>
        </w:tabs>
        <w:ind w:right="567"/>
        <w:rPr>
          <w:sz w:val="20"/>
        </w:rPr>
      </w:pPr>
    </w:p>
    <w:p w:rsidR="00EB284C" w:rsidRDefault="00EB284C" w14:paraId="3CC43AC8" w14:textId="77777777">
      <w:pPr>
        <w:tabs>
          <w:tab w:val="left" w:pos="426"/>
          <w:tab w:val="left" w:pos="1418"/>
          <w:tab w:val="left" w:pos="1843"/>
          <w:tab w:val="left" w:pos="3544"/>
          <w:tab w:val="left" w:pos="3969"/>
          <w:tab w:val="left" w:pos="6237"/>
          <w:tab w:val="left" w:pos="6663"/>
        </w:tabs>
        <w:ind w:right="567"/>
        <w:rPr>
          <w:sz w:val="20"/>
        </w:rPr>
      </w:pPr>
    </w:p>
    <w:p w:rsidR="00EB284C" w:rsidRDefault="00EB284C" w14:paraId="4F0FD489" w14:textId="77777777">
      <w:pPr>
        <w:tabs>
          <w:tab w:val="left" w:pos="426"/>
          <w:tab w:val="left" w:pos="1418"/>
          <w:tab w:val="left" w:pos="1843"/>
          <w:tab w:val="left" w:pos="3544"/>
          <w:tab w:val="left" w:pos="3969"/>
          <w:tab w:val="left" w:pos="6237"/>
          <w:tab w:val="left" w:pos="6663"/>
        </w:tabs>
        <w:ind w:right="567"/>
        <w:rPr>
          <w:sz w:val="20"/>
        </w:rPr>
      </w:pPr>
    </w:p>
    <w:p w:rsidR="00EB284C" w:rsidRDefault="00EB284C" w14:paraId="2D59695B" w14:textId="77777777">
      <w:pPr>
        <w:tabs>
          <w:tab w:val="left" w:pos="426"/>
          <w:tab w:val="left" w:pos="1418"/>
          <w:tab w:val="left" w:pos="1843"/>
          <w:tab w:val="left" w:pos="3544"/>
          <w:tab w:val="left" w:pos="3969"/>
          <w:tab w:val="left" w:pos="6237"/>
          <w:tab w:val="left" w:pos="6663"/>
        </w:tabs>
        <w:ind w:right="567"/>
        <w:rPr>
          <w:sz w:val="20"/>
        </w:rPr>
      </w:pPr>
    </w:p>
    <w:p w:rsidR="00EB284C" w:rsidRDefault="00EB284C" w14:paraId="5A2B9CE0" w14:textId="77777777">
      <w:pPr>
        <w:tabs>
          <w:tab w:val="left" w:pos="426"/>
          <w:tab w:val="left" w:pos="1418"/>
          <w:tab w:val="left" w:pos="1843"/>
          <w:tab w:val="left" w:pos="3544"/>
          <w:tab w:val="left" w:pos="3969"/>
          <w:tab w:val="left" w:pos="6237"/>
          <w:tab w:val="left" w:pos="6663"/>
        </w:tabs>
        <w:ind w:right="567"/>
        <w:rPr>
          <w:sz w:val="20"/>
        </w:rPr>
      </w:pPr>
    </w:p>
    <w:p w:rsidR="00EB284C" w:rsidRDefault="00EB284C" w14:paraId="562E2EE4" w14:textId="77777777">
      <w:pPr>
        <w:tabs>
          <w:tab w:val="left" w:pos="426"/>
          <w:tab w:val="left" w:pos="1418"/>
          <w:tab w:val="left" w:pos="1843"/>
          <w:tab w:val="left" w:pos="3544"/>
          <w:tab w:val="left" w:pos="3969"/>
          <w:tab w:val="left" w:pos="6237"/>
          <w:tab w:val="left" w:pos="6663"/>
        </w:tabs>
        <w:ind w:right="567"/>
        <w:rPr>
          <w:sz w:val="20"/>
        </w:rPr>
      </w:pPr>
    </w:p>
    <w:sdt>
      <w:sdtPr>
        <w:rPr>
          <w:rFonts w:ascii="Arial" w:hAnsi="Arial" w:eastAsia="Times" w:cs="Times New Roman"/>
          <w:color w:val="auto"/>
          <w:sz w:val="22"/>
          <w:szCs w:val="22"/>
          <w:lang w:val="en-GB"/>
        </w:rPr>
        <w:id w:val="1139067215"/>
        <w:docPartObj>
          <w:docPartGallery w:val="Table of Contents"/>
          <w:docPartUnique/>
        </w:docPartObj>
      </w:sdtPr>
      <w:sdtEndPr>
        <w:rPr>
          <w:b/>
          <w:bCs/>
          <w:noProof/>
        </w:rPr>
      </w:sdtEndPr>
      <w:sdtContent>
        <w:p w:rsidR="00E62A8D" w:rsidRDefault="00E62A8D" w14:paraId="4E6395F8" w14:textId="13925186">
          <w:pPr>
            <w:pStyle w:val="TOCHeading"/>
          </w:pPr>
          <w:r>
            <w:t>Contents</w:t>
          </w:r>
        </w:p>
        <w:p w:rsidR="009F3F54" w:rsidRDefault="00E62A8D" w14:paraId="17B51111" w14:textId="24E8AD79">
          <w:pPr>
            <w:pStyle w:val="TOC1"/>
            <w:tabs>
              <w:tab w:val="right" w:leader="dot" w:pos="10188"/>
            </w:tabs>
            <w:rPr>
              <w:rFonts w:asciiTheme="minorHAnsi" w:hAnsiTheme="minorHAnsi" w:eastAsiaTheme="minorEastAsia" w:cstheme="minorBidi"/>
              <w:noProof/>
              <w:lang w:eastAsia="en-GB"/>
            </w:rPr>
          </w:pPr>
          <w:r>
            <w:fldChar w:fldCharType="begin"/>
          </w:r>
          <w:r>
            <w:instrText xml:space="preserve"> TOC \o "1-3" \h \z \u </w:instrText>
          </w:r>
          <w:r>
            <w:fldChar w:fldCharType="separate"/>
          </w:r>
          <w:hyperlink w:history="1" w:anchor="_Toc115692115">
            <w:r w:rsidRPr="002A41B6" w:rsidR="009F3F54">
              <w:rPr>
                <w:rStyle w:val="Hyperlink"/>
                <w:noProof/>
              </w:rPr>
              <w:t>SOP Title Reference: Freedom of Information Policy</w:t>
            </w:r>
            <w:r w:rsidR="009F3F54">
              <w:rPr>
                <w:noProof/>
                <w:webHidden/>
              </w:rPr>
              <w:tab/>
            </w:r>
            <w:r w:rsidR="009F3F54">
              <w:rPr>
                <w:noProof/>
                <w:webHidden/>
              </w:rPr>
              <w:fldChar w:fldCharType="begin"/>
            </w:r>
            <w:r w:rsidR="009F3F54">
              <w:rPr>
                <w:noProof/>
                <w:webHidden/>
              </w:rPr>
              <w:instrText xml:space="preserve"> PAGEREF _Toc115692115 \h </w:instrText>
            </w:r>
            <w:r w:rsidR="009F3F54">
              <w:rPr>
                <w:noProof/>
                <w:webHidden/>
              </w:rPr>
            </w:r>
            <w:r w:rsidR="009F3F54">
              <w:rPr>
                <w:noProof/>
                <w:webHidden/>
              </w:rPr>
              <w:fldChar w:fldCharType="separate"/>
            </w:r>
            <w:r w:rsidR="009F3F54">
              <w:rPr>
                <w:noProof/>
                <w:webHidden/>
              </w:rPr>
              <w:t>1</w:t>
            </w:r>
            <w:r w:rsidR="009F3F54">
              <w:rPr>
                <w:noProof/>
                <w:webHidden/>
              </w:rPr>
              <w:fldChar w:fldCharType="end"/>
            </w:r>
          </w:hyperlink>
        </w:p>
        <w:p w:rsidR="009F3F54" w:rsidRDefault="009F3F54" w14:paraId="185C67DC" w14:textId="6900D6F6">
          <w:pPr>
            <w:pStyle w:val="TOC1"/>
            <w:tabs>
              <w:tab w:val="right" w:leader="dot" w:pos="10188"/>
            </w:tabs>
            <w:rPr>
              <w:rFonts w:asciiTheme="minorHAnsi" w:hAnsiTheme="minorHAnsi" w:eastAsiaTheme="minorEastAsia" w:cstheme="minorBidi"/>
              <w:noProof/>
              <w:lang w:eastAsia="en-GB"/>
            </w:rPr>
          </w:pPr>
          <w:hyperlink w:history="1" w:anchor="_Toc115692116">
            <w:r w:rsidRPr="002A41B6">
              <w:rPr>
                <w:rStyle w:val="Hyperlink"/>
                <w:noProof/>
              </w:rPr>
              <w:t>Freedom of Information Policy</w:t>
            </w:r>
            <w:r>
              <w:rPr>
                <w:noProof/>
                <w:webHidden/>
              </w:rPr>
              <w:tab/>
            </w:r>
            <w:r>
              <w:rPr>
                <w:noProof/>
                <w:webHidden/>
              </w:rPr>
              <w:fldChar w:fldCharType="begin"/>
            </w:r>
            <w:r>
              <w:rPr>
                <w:noProof/>
                <w:webHidden/>
              </w:rPr>
              <w:instrText xml:space="preserve"> PAGEREF _Toc115692116 \h </w:instrText>
            </w:r>
            <w:r>
              <w:rPr>
                <w:noProof/>
                <w:webHidden/>
              </w:rPr>
            </w:r>
            <w:r>
              <w:rPr>
                <w:noProof/>
                <w:webHidden/>
              </w:rPr>
              <w:fldChar w:fldCharType="separate"/>
            </w:r>
            <w:r>
              <w:rPr>
                <w:noProof/>
                <w:webHidden/>
              </w:rPr>
              <w:t>1</w:t>
            </w:r>
            <w:r>
              <w:rPr>
                <w:noProof/>
                <w:webHidden/>
              </w:rPr>
              <w:fldChar w:fldCharType="end"/>
            </w:r>
          </w:hyperlink>
        </w:p>
        <w:p w:rsidR="009F3F54" w:rsidRDefault="009F3F54" w14:paraId="2C091C9E" w14:textId="1F942656">
          <w:pPr>
            <w:pStyle w:val="TOC1"/>
            <w:tabs>
              <w:tab w:val="left" w:pos="440"/>
              <w:tab w:val="right" w:leader="dot" w:pos="10188"/>
            </w:tabs>
            <w:rPr>
              <w:rFonts w:asciiTheme="minorHAnsi" w:hAnsiTheme="minorHAnsi" w:eastAsiaTheme="minorEastAsia" w:cstheme="minorBidi"/>
              <w:noProof/>
              <w:lang w:eastAsia="en-GB"/>
            </w:rPr>
          </w:pPr>
          <w:hyperlink w:history="1" w:anchor="_Toc115692117">
            <w:r w:rsidRPr="002A41B6">
              <w:rPr>
                <w:rStyle w:val="Hyperlink"/>
                <w:bCs/>
                <w:noProof/>
              </w:rPr>
              <w:t>1.</w:t>
            </w:r>
            <w:r>
              <w:rPr>
                <w:rFonts w:asciiTheme="minorHAnsi" w:hAnsiTheme="minorHAnsi" w:eastAsiaTheme="minorEastAsia" w:cstheme="minorBidi"/>
                <w:noProof/>
                <w:lang w:eastAsia="en-GB"/>
              </w:rPr>
              <w:tab/>
            </w:r>
            <w:r w:rsidRPr="002A41B6">
              <w:rPr>
                <w:rStyle w:val="Hyperlink"/>
                <w:noProof/>
              </w:rPr>
              <w:t>Introduction</w:t>
            </w:r>
            <w:r>
              <w:rPr>
                <w:noProof/>
                <w:webHidden/>
              </w:rPr>
              <w:tab/>
            </w:r>
            <w:r>
              <w:rPr>
                <w:noProof/>
                <w:webHidden/>
              </w:rPr>
              <w:fldChar w:fldCharType="begin"/>
            </w:r>
            <w:r>
              <w:rPr>
                <w:noProof/>
                <w:webHidden/>
              </w:rPr>
              <w:instrText xml:space="preserve"> PAGEREF _Toc115692117 \h </w:instrText>
            </w:r>
            <w:r>
              <w:rPr>
                <w:noProof/>
                <w:webHidden/>
              </w:rPr>
            </w:r>
            <w:r>
              <w:rPr>
                <w:noProof/>
                <w:webHidden/>
              </w:rPr>
              <w:fldChar w:fldCharType="separate"/>
            </w:r>
            <w:r>
              <w:rPr>
                <w:noProof/>
                <w:webHidden/>
              </w:rPr>
              <w:t>3</w:t>
            </w:r>
            <w:r>
              <w:rPr>
                <w:noProof/>
                <w:webHidden/>
              </w:rPr>
              <w:fldChar w:fldCharType="end"/>
            </w:r>
          </w:hyperlink>
        </w:p>
        <w:p w:rsidR="009F3F54" w:rsidRDefault="009F3F54" w14:paraId="749BADFD" w14:textId="08BA7745">
          <w:pPr>
            <w:pStyle w:val="TOC1"/>
            <w:tabs>
              <w:tab w:val="left" w:pos="440"/>
              <w:tab w:val="right" w:leader="dot" w:pos="10188"/>
            </w:tabs>
            <w:rPr>
              <w:rFonts w:asciiTheme="minorHAnsi" w:hAnsiTheme="minorHAnsi" w:eastAsiaTheme="minorEastAsia" w:cstheme="minorBidi"/>
              <w:noProof/>
              <w:lang w:eastAsia="en-GB"/>
            </w:rPr>
          </w:pPr>
          <w:hyperlink w:history="1" w:anchor="_Toc115692118">
            <w:r w:rsidRPr="002A41B6">
              <w:rPr>
                <w:rStyle w:val="Hyperlink"/>
                <w:bCs/>
                <w:noProof/>
              </w:rPr>
              <w:t>2.</w:t>
            </w:r>
            <w:r>
              <w:rPr>
                <w:rFonts w:asciiTheme="minorHAnsi" w:hAnsiTheme="minorHAnsi" w:eastAsiaTheme="minorEastAsia" w:cstheme="minorBidi"/>
                <w:noProof/>
                <w:lang w:eastAsia="en-GB"/>
              </w:rPr>
              <w:tab/>
            </w:r>
            <w:r w:rsidRPr="002A41B6">
              <w:rPr>
                <w:rStyle w:val="Hyperlink"/>
                <w:noProof/>
              </w:rPr>
              <w:t>Scope</w:t>
            </w:r>
            <w:r>
              <w:rPr>
                <w:noProof/>
                <w:webHidden/>
              </w:rPr>
              <w:tab/>
            </w:r>
            <w:r>
              <w:rPr>
                <w:noProof/>
                <w:webHidden/>
              </w:rPr>
              <w:fldChar w:fldCharType="begin"/>
            </w:r>
            <w:r>
              <w:rPr>
                <w:noProof/>
                <w:webHidden/>
              </w:rPr>
              <w:instrText xml:space="preserve"> PAGEREF _Toc115692118 \h </w:instrText>
            </w:r>
            <w:r>
              <w:rPr>
                <w:noProof/>
                <w:webHidden/>
              </w:rPr>
            </w:r>
            <w:r>
              <w:rPr>
                <w:noProof/>
                <w:webHidden/>
              </w:rPr>
              <w:fldChar w:fldCharType="separate"/>
            </w:r>
            <w:r>
              <w:rPr>
                <w:noProof/>
                <w:webHidden/>
              </w:rPr>
              <w:t>3</w:t>
            </w:r>
            <w:r>
              <w:rPr>
                <w:noProof/>
                <w:webHidden/>
              </w:rPr>
              <w:fldChar w:fldCharType="end"/>
            </w:r>
          </w:hyperlink>
        </w:p>
        <w:p w:rsidR="009F3F54" w:rsidRDefault="009F3F54" w14:paraId="136EC5E3" w14:textId="05DE1ECD">
          <w:pPr>
            <w:pStyle w:val="TOC1"/>
            <w:tabs>
              <w:tab w:val="left" w:pos="440"/>
              <w:tab w:val="right" w:leader="dot" w:pos="10188"/>
            </w:tabs>
            <w:rPr>
              <w:rFonts w:asciiTheme="minorHAnsi" w:hAnsiTheme="minorHAnsi" w:eastAsiaTheme="minorEastAsia" w:cstheme="minorBidi"/>
              <w:noProof/>
              <w:lang w:eastAsia="en-GB"/>
            </w:rPr>
          </w:pPr>
          <w:hyperlink w:history="1" w:anchor="_Toc115692119">
            <w:r w:rsidRPr="002A41B6">
              <w:rPr>
                <w:rStyle w:val="Hyperlink"/>
                <w:bCs/>
                <w:noProof/>
              </w:rPr>
              <w:t>3.</w:t>
            </w:r>
            <w:r>
              <w:rPr>
                <w:rFonts w:asciiTheme="minorHAnsi" w:hAnsiTheme="minorHAnsi" w:eastAsiaTheme="minorEastAsia" w:cstheme="minorBidi"/>
                <w:noProof/>
                <w:lang w:eastAsia="en-GB"/>
              </w:rPr>
              <w:tab/>
            </w:r>
            <w:r w:rsidRPr="002A41B6">
              <w:rPr>
                <w:rStyle w:val="Hyperlink"/>
                <w:noProof/>
              </w:rPr>
              <w:t>Purpose</w:t>
            </w:r>
            <w:r>
              <w:rPr>
                <w:noProof/>
                <w:webHidden/>
              </w:rPr>
              <w:tab/>
            </w:r>
            <w:r>
              <w:rPr>
                <w:noProof/>
                <w:webHidden/>
              </w:rPr>
              <w:fldChar w:fldCharType="begin"/>
            </w:r>
            <w:r>
              <w:rPr>
                <w:noProof/>
                <w:webHidden/>
              </w:rPr>
              <w:instrText xml:space="preserve"> PAGEREF _Toc115692119 \h </w:instrText>
            </w:r>
            <w:r>
              <w:rPr>
                <w:noProof/>
                <w:webHidden/>
              </w:rPr>
            </w:r>
            <w:r>
              <w:rPr>
                <w:noProof/>
                <w:webHidden/>
              </w:rPr>
              <w:fldChar w:fldCharType="separate"/>
            </w:r>
            <w:r>
              <w:rPr>
                <w:noProof/>
                <w:webHidden/>
              </w:rPr>
              <w:t>3</w:t>
            </w:r>
            <w:r>
              <w:rPr>
                <w:noProof/>
                <w:webHidden/>
              </w:rPr>
              <w:fldChar w:fldCharType="end"/>
            </w:r>
          </w:hyperlink>
        </w:p>
        <w:p w:rsidR="009F3F54" w:rsidRDefault="009F3F54" w14:paraId="1BAA5C6D" w14:textId="0AC0EA64">
          <w:pPr>
            <w:pStyle w:val="TOC1"/>
            <w:tabs>
              <w:tab w:val="left" w:pos="440"/>
              <w:tab w:val="right" w:leader="dot" w:pos="10188"/>
            </w:tabs>
            <w:rPr>
              <w:rFonts w:asciiTheme="minorHAnsi" w:hAnsiTheme="minorHAnsi" w:eastAsiaTheme="minorEastAsia" w:cstheme="minorBidi"/>
              <w:noProof/>
              <w:lang w:eastAsia="en-GB"/>
            </w:rPr>
          </w:pPr>
          <w:hyperlink w:history="1" w:anchor="_Toc115692120">
            <w:r w:rsidRPr="002A41B6">
              <w:rPr>
                <w:rStyle w:val="Hyperlink"/>
                <w:noProof/>
              </w:rPr>
              <w:t>4.</w:t>
            </w:r>
            <w:r>
              <w:rPr>
                <w:rFonts w:asciiTheme="minorHAnsi" w:hAnsiTheme="minorHAnsi" w:eastAsiaTheme="minorEastAsia" w:cstheme="minorBidi"/>
                <w:noProof/>
                <w:lang w:eastAsia="en-GB"/>
              </w:rPr>
              <w:tab/>
            </w:r>
            <w:r w:rsidRPr="002A41B6">
              <w:rPr>
                <w:rStyle w:val="Hyperlink"/>
                <w:noProof/>
              </w:rPr>
              <w:t>Responsibilities</w:t>
            </w:r>
            <w:r>
              <w:rPr>
                <w:noProof/>
                <w:webHidden/>
              </w:rPr>
              <w:tab/>
            </w:r>
            <w:r>
              <w:rPr>
                <w:noProof/>
                <w:webHidden/>
              </w:rPr>
              <w:fldChar w:fldCharType="begin"/>
            </w:r>
            <w:r>
              <w:rPr>
                <w:noProof/>
                <w:webHidden/>
              </w:rPr>
              <w:instrText xml:space="preserve"> PAGEREF _Toc115692120 \h </w:instrText>
            </w:r>
            <w:r>
              <w:rPr>
                <w:noProof/>
                <w:webHidden/>
              </w:rPr>
            </w:r>
            <w:r>
              <w:rPr>
                <w:noProof/>
                <w:webHidden/>
              </w:rPr>
              <w:fldChar w:fldCharType="separate"/>
            </w:r>
            <w:r>
              <w:rPr>
                <w:noProof/>
                <w:webHidden/>
              </w:rPr>
              <w:t>3</w:t>
            </w:r>
            <w:r>
              <w:rPr>
                <w:noProof/>
                <w:webHidden/>
              </w:rPr>
              <w:fldChar w:fldCharType="end"/>
            </w:r>
          </w:hyperlink>
        </w:p>
        <w:p w:rsidR="009F3F54" w:rsidRDefault="009F3F54" w14:paraId="71A87598" w14:textId="29AA5E9C">
          <w:pPr>
            <w:pStyle w:val="TOC1"/>
            <w:tabs>
              <w:tab w:val="left" w:pos="440"/>
              <w:tab w:val="right" w:leader="dot" w:pos="10188"/>
            </w:tabs>
            <w:rPr>
              <w:rFonts w:asciiTheme="minorHAnsi" w:hAnsiTheme="minorHAnsi" w:eastAsiaTheme="minorEastAsia" w:cstheme="minorBidi"/>
              <w:noProof/>
              <w:lang w:eastAsia="en-GB"/>
            </w:rPr>
          </w:pPr>
          <w:hyperlink w:history="1" w:anchor="_Toc115692121">
            <w:r w:rsidRPr="002A41B6">
              <w:rPr>
                <w:rStyle w:val="Hyperlink"/>
                <w:rFonts w:eastAsia="Times New Roman"/>
                <w:noProof/>
                <w:lang w:val="en-US" w:eastAsia="en-GB"/>
              </w:rPr>
              <w:t>5.</w:t>
            </w:r>
            <w:r>
              <w:rPr>
                <w:rFonts w:asciiTheme="minorHAnsi" w:hAnsiTheme="minorHAnsi" w:eastAsiaTheme="minorEastAsia" w:cstheme="minorBidi"/>
                <w:noProof/>
                <w:lang w:eastAsia="en-GB"/>
              </w:rPr>
              <w:tab/>
            </w:r>
            <w:r w:rsidRPr="002A41B6">
              <w:rPr>
                <w:rStyle w:val="Hyperlink"/>
                <w:noProof/>
              </w:rPr>
              <w:t>Publication Scheme</w:t>
            </w:r>
            <w:r>
              <w:rPr>
                <w:noProof/>
                <w:webHidden/>
              </w:rPr>
              <w:tab/>
            </w:r>
            <w:r>
              <w:rPr>
                <w:noProof/>
                <w:webHidden/>
              </w:rPr>
              <w:fldChar w:fldCharType="begin"/>
            </w:r>
            <w:r>
              <w:rPr>
                <w:noProof/>
                <w:webHidden/>
              </w:rPr>
              <w:instrText xml:space="preserve"> PAGEREF _Toc115692121 \h </w:instrText>
            </w:r>
            <w:r>
              <w:rPr>
                <w:noProof/>
                <w:webHidden/>
              </w:rPr>
            </w:r>
            <w:r>
              <w:rPr>
                <w:noProof/>
                <w:webHidden/>
              </w:rPr>
              <w:fldChar w:fldCharType="separate"/>
            </w:r>
            <w:r>
              <w:rPr>
                <w:noProof/>
                <w:webHidden/>
              </w:rPr>
              <w:t>4</w:t>
            </w:r>
            <w:r>
              <w:rPr>
                <w:noProof/>
                <w:webHidden/>
              </w:rPr>
              <w:fldChar w:fldCharType="end"/>
            </w:r>
          </w:hyperlink>
        </w:p>
        <w:p w:rsidR="009F3F54" w:rsidRDefault="009F3F54" w14:paraId="66B44AAB" w14:textId="6898FED2">
          <w:pPr>
            <w:pStyle w:val="TOC1"/>
            <w:tabs>
              <w:tab w:val="left" w:pos="440"/>
              <w:tab w:val="right" w:leader="dot" w:pos="10188"/>
            </w:tabs>
            <w:rPr>
              <w:rFonts w:asciiTheme="minorHAnsi" w:hAnsiTheme="minorHAnsi" w:eastAsiaTheme="minorEastAsia" w:cstheme="minorBidi"/>
              <w:noProof/>
              <w:lang w:eastAsia="en-GB"/>
            </w:rPr>
          </w:pPr>
          <w:hyperlink w:history="1" w:anchor="_Toc115692122">
            <w:r w:rsidRPr="002A41B6">
              <w:rPr>
                <w:rStyle w:val="Hyperlink"/>
                <w:noProof/>
              </w:rPr>
              <w:t>6.</w:t>
            </w:r>
            <w:r>
              <w:rPr>
                <w:rFonts w:asciiTheme="minorHAnsi" w:hAnsiTheme="minorHAnsi" w:eastAsiaTheme="minorEastAsia" w:cstheme="minorBidi"/>
                <w:noProof/>
                <w:lang w:eastAsia="en-GB"/>
              </w:rPr>
              <w:tab/>
            </w:r>
            <w:r w:rsidRPr="002A41B6">
              <w:rPr>
                <w:rStyle w:val="Hyperlink"/>
                <w:noProof/>
              </w:rPr>
              <w:t>Requests for Information</w:t>
            </w:r>
            <w:r>
              <w:rPr>
                <w:noProof/>
                <w:webHidden/>
              </w:rPr>
              <w:tab/>
            </w:r>
            <w:r>
              <w:rPr>
                <w:noProof/>
                <w:webHidden/>
              </w:rPr>
              <w:fldChar w:fldCharType="begin"/>
            </w:r>
            <w:r>
              <w:rPr>
                <w:noProof/>
                <w:webHidden/>
              </w:rPr>
              <w:instrText xml:space="preserve"> PAGEREF _Toc115692122 \h </w:instrText>
            </w:r>
            <w:r>
              <w:rPr>
                <w:noProof/>
                <w:webHidden/>
              </w:rPr>
            </w:r>
            <w:r>
              <w:rPr>
                <w:noProof/>
                <w:webHidden/>
              </w:rPr>
              <w:fldChar w:fldCharType="separate"/>
            </w:r>
            <w:r>
              <w:rPr>
                <w:noProof/>
                <w:webHidden/>
              </w:rPr>
              <w:t>4</w:t>
            </w:r>
            <w:r>
              <w:rPr>
                <w:noProof/>
                <w:webHidden/>
              </w:rPr>
              <w:fldChar w:fldCharType="end"/>
            </w:r>
          </w:hyperlink>
        </w:p>
        <w:p w:rsidR="009F3F54" w:rsidRDefault="009F3F54" w14:paraId="2DA1651A" w14:textId="187474A0">
          <w:pPr>
            <w:pStyle w:val="TOC1"/>
            <w:tabs>
              <w:tab w:val="left" w:pos="440"/>
              <w:tab w:val="right" w:leader="dot" w:pos="10188"/>
            </w:tabs>
            <w:rPr>
              <w:rFonts w:asciiTheme="minorHAnsi" w:hAnsiTheme="minorHAnsi" w:eastAsiaTheme="minorEastAsia" w:cstheme="minorBidi"/>
              <w:noProof/>
              <w:lang w:eastAsia="en-GB"/>
            </w:rPr>
          </w:pPr>
          <w:hyperlink w:history="1" w:anchor="_Toc115692123">
            <w:r w:rsidRPr="002A41B6">
              <w:rPr>
                <w:rStyle w:val="Hyperlink"/>
                <w:noProof/>
              </w:rPr>
              <w:t>7.</w:t>
            </w:r>
            <w:r>
              <w:rPr>
                <w:rFonts w:asciiTheme="minorHAnsi" w:hAnsiTheme="minorHAnsi" w:eastAsiaTheme="minorEastAsia" w:cstheme="minorBidi"/>
                <w:noProof/>
                <w:lang w:eastAsia="en-GB"/>
              </w:rPr>
              <w:tab/>
            </w:r>
            <w:r w:rsidRPr="002A41B6">
              <w:rPr>
                <w:rStyle w:val="Hyperlink"/>
                <w:noProof/>
              </w:rPr>
              <w:t>Fees</w:t>
            </w:r>
            <w:r>
              <w:rPr>
                <w:noProof/>
                <w:webHidden/>
              </w:rPr>
              <w:tab/>
            </w:r>
            <w:r>
              <w:rPr>
                <w:noProof/>
                <w:webHidden/>
              </w:rPr>
              <w:fldChar w:fldCharType="begin"/>
            </w:r>
            <w:r>
              <w:rPr>
                <w:noProof/>
                <w:webHidden/>
              </w:rPr>
              <w:instrText xml:space="preserve"> PAGEREF _Toc115692123 \h </w:instrText>
            </w:r>
            <w:r>
              <w:rPr>
                <w:noProof/>
                <w:webHidden/>
              </w:rPr>
            </w:r>
            <w:r>
              <w:rPr>
                <w:noProof/>
                <w:webHidden/>
              </w:rPr>
              <w:fldChar w:fldCharType="separate"/>
            </w:r>
            <w:r>
              <w:rPr>
                <w:noProof/>
                <w:webHidden/>
              </w:rPr>
              <w:t>4</w:t>
            </w:r>
            <w:r>
              <w:rPr>
                <w:noProof/>
                <w:webHidden/>
              </w:rPr>
              <w:fldChar w:fldCharType="end"/>
            </w:r>
          </w:hyperlink>
        </w:p>
        <w:p w:rsidR="009F3F54" w:rsidRDefault="009F3F54" w14:paraId="23B06E43" w14:textId="3D079487">
          <w:pPr>
            <w:pStyle w:val="TOC1"/>
            <w:tabs>
              <w:tab w:val="left" w:pos="440"/>
              <w:tab w:val="right" w:leader="dot" w:pos="10188"/>
            </w:tabs>
            <w:rPr>
              <w:rFonts w:asciiTheme="minorHAnsi" w:hAnsiTheme="minorHAnsi" w:eastAsiaTheme="minorEastAsia" w:cstheme="minorBidi"/>
              <w:noProof/>
              <w:lang w:eastAsia="en-GB"/>
            </w:rPr>
          </w:pPr>
          <w:hyperlink w:history="1" w:anchor="_Toc115692124">
            <w:r w:rsidRPr="002A41B6">
              <w:rPr>
                <w:rStyle w:val="Hyperlink"/>
                <w:noProof/>
              </w:rPr>
              <w:t>8.</w:t>
            </w:r>
            <w:r>
              <w:rPr>
                <w:rFonts w:asciiTheme="minorHAnsi" w:hAnsiTheme="minorHAnsi" w:eastAsiaTheme="minorEastAsia" w:cstheme="minorBidi"/>
                <w:noProof/>
                <w:lang w:eastAsia="en-GB"/>
              </w:rPr>
              <w:tab/>
            </w:r>
            <w:r w:rsidRPr="002A41B6">
              <w:rPr>
                <w:rStyle w:val="Hyperlink"/>
                <w:noProof/>
              </w:rPr>
              <w:t>Exemptions</w:t>
            </w:r>
            <w:r>
              <w:rPr>
                <w:noProof/>
                <w:webHidden/>
              </w:rPr>
              <w:tab/>
            </w:r>
            <w:r>
              <w:rPr>
                <w:noProof/>
                <w:webHidden/>
              </w:rPr>
              <w:fldChar w:fldCharType="begin"/>
            </w:r>
            <w:r>
              <w:rPr>
                <w:noProof/>
                <w:webHidden/>
              </w:rPr>
              <w:instrText xml:space="preserve"> PAGEREF _Toc115692124 \h </w:instrText>
            </w:r>
            <w:r>
              <w:rPr>
                <w:noProof/>
                <w:webHidden/>
              </w:rPr>
            </w:r>
            <w:r>
              <w:rPr>
                <w:noProof/>
                <w:webHidden/>
              </w:rPr>
              <w:fldChar w:fldCharType="separate"/>
            </w:r>
            <w:r>
              <w:rPr>
                <w:noProof/>
                <w:webHidden/>
              </w:rPr>
              <w:t>4</w:t>
            </w:r>
            <w:r>
              <w:rPr>
                <w:noProof/>
                <w:webHidden/>
              </w:rPr>
              <w:fldChar w:fldCharType="end"/>
            </w:r>
          </w:hyperlink>
        </w:p>
        <w:p w:rsidR="009F3F54" w:rsidRDefault="009F3F54" w14:paraId="4282D5AF" w14:textId="4ACA9A3B">
          <w:pPr>
            <w:pStyle w:val="TOC1"/>
            <w:tabs>
              <w:tab w:val="left" w:pos="440"/>
              <w:tab w:val="right" w:leader="dot" w:pos="10188"/>
            </w:tabs>
            <w:rPr>
              <w:rFonts w:asciiTheme="minorHAnsi" w:hAnsiTheme="minorHAnsi" w:eastAsiaTheme="minorEastAsia" w:cstheme="minorBidi"/>
              <w:noProof/>
              <w:lang w:eastAsia="en-GB"/>
            </w:rPr>
          </w:pPr>
          <w:hyperlink w:history="1" w:anchor="_Toc115692125">
            <w:r w:rsidRPr="002A41B6">
              <w:rPr>
                <w:rStyle w:val="Hyperlink"/>
                <w:noProof/>
                <w:lang w:val="en-US" w:eastAsia="en-GB"/>
              </w:rPr>
              <w:t>9.</w:t>
            </w:r>
            <w:r>
              <w:rPr>
                <w:rFonts w:asciiTheme="minorHAnsi" w:hAnsiTheme="minorHAnsi" w:eastAsiaTheme="minorEastAsia" w:cstheme="minorBidi"/>
                <w:noProof/>
                <w:lang w:eastAsia="en-GB"/>
              </w:rPr>
              <w:tab/>
            </w:r>
            <w:r w:rsidRPr="002A41B6">
              <w:rPr>
                <w:rStyle w:val="Hyperlink"/>
                <w:noProof/>
                <w:lang w:val="en-US" w:eastAsia="en-GB"/>
              </w:rPr>
              <w:t>Appeals and reviews</w:t>
            </w:r>
            <w:r>
              <w:rPr>
                <w:noProof/>
                <w:webHidden/>
              </w:rPr>
              <w:tab/>
            </w:r>
            <w:r>
              <w:rPr>
                <w:noProof/>
                <w:webHidden/>
              </w:rPr>
              <w:fldChar w:fldCharType="begin"/>
            </w:r>
            <w:r>
              <w:rPr>
                <w:noProof/>
                <w:webHidden/>
              </w:rPr>
              <w:instrText xml:space="preserve"> PAGEREF _Toc115692125 \h </w:instrText>
            </w:r>
            <w:r>
              <w:rPr>
                <w:noProof/>
                <w:webHidden/>
              </w:rPr>
            </w:r>
            <w:r>
              <w:rPr>
                <w:noProof/>
                <w:webHidden/>
              </w:rPr>
              <w:fldChar w:fldCharType="separate"/>
            </w:r>
            <w:r>
              <w:rPr>
                <w:noProof/>
                <w:webHidden/>
              </w:rPr>
              <w:t>5</w:t>
            </w:r>
            <w:r>
              <w:rPr>
                <w:noProof/>
                <w:webHidden/>
              </w:rPr>
              <w:fldChar w:fldCharType="end"/>
            </w:r>
          </w:hyperlink>
        </w:p>
        <w:p w:rsidR="009F3F54" w:rsidRDefault="009F3F54" w14:paraId="304C7025" w14:textId="1AFAAD29">
          <w:pPr>
            <w:pStyle w:val="TOC1"/>
            <w:tabs>
              <w:tab w:val="left" w:pos="660"/>
              <w:tab w:val="right" w:leader="dot" w:pos="10188"/>
            </w:tabs>
            <w:rPr>
              <w:rFonts w:asciiTheme="minorHAnsi" w:hAnsiTheme="minorHAnsi" w:eastAsiaTheme="minorEastAsia" w:cstheme="minorBidi"/>
              <w:noProof/>
              <w:lang w:eastAsia="en-GB"/>
            </w:rPr>
          </w:pPr>
          <w:hyperlink w:history="1" w:anchor="_Toc115692126">
            <w:r w:rsidRPr="002A41B6">
              <w:rPr>
                <w:rStyle w:val="Hyperlink"/>
                <w:noProof/>
                <w:lang w:val="en-US" w:eastAsia="en-GB"/>
              </w:rPr>
              <w:t>10.</w:t>
            </w:r>
            <w:r>
              <w:rPr>
                <w:rFonts w:asciiTheme="minorHAnsi" w:hAnsiTheme="minorHAnsi" w:eastAsiaTheme="minorEastAsia" w:cstheme="minorBidi"/>
                <w:noProof/>
                <w:lang w:eastAsia="en-GB"/>
              </w:rPr>
              <w:tab/>
            </w:r>
            <w:r w:rsidRPr="002A41B6">
              <w:rPr>
                <w:rStyle w:val="Hyperlink"/>
                <w:noProof/>
                <w:lang w:val="en-US" w:eastAsia="en-GB"/>
              </w:rPr>
              <w:t>Other relevant documents</w:t>
            </w:r>
            <w:r>
              <w:rPr>
                <w:noProof/>
                <w:webHidden/>
              </w:rPr>
              <w:tab/>
            </w:r>
            <w:r>
              <w:rPr>
                <w:noProof/>
                <w:webHidden/>
              </w:rPr>
              <w:fldChar w:fldCharType="begin"/>
            </w:r>
            <w:r>
              <w:rPr>
                <w:noProof/>
                <w:webHidden/>
              </w:rPr>
              <w:instrText xml:space="preserve"> PAGEREF _Toc115692126 \h </w:instrText>
            </w:r>
            <w:r>
              <w:rPr>
                <w:noProof/>
                <w:webHidden/>
              </w:rPr>
            </w:r>
            <w:r>
              <w:rPr>
                <w:noProof/>
                <w:webHidden/>
              </w:rPr>
              <w:fldChar w:fldCharType="separate"/>
            </w:r>
            <w:r>
              <w:rPr>
                <w:noProof/>
                <w:webHidden/>
              </w:rPr>
              <w:t>5</w:t>
            </w:r>
            <w:r>
              <w:rPr>
                <w:noProof/>
                <w:webHidden/>
              </w:rPr>
              <w:fldChar w:fldCharType="end"/>
            </w:r>
          </w:hyperlink>
        </w:p>
        <w:p w:rsidR="00E62A8D" w:rsidRDefault="00E62A8D" w14:paraId="5D7D2E5F" w14:textId="3721688F">
          <w:r>
            <w:rPr>
              <w:b/>
              <w:bCs/>
              <w:noProof/>
            </w:rPr>
            <w:fldChar w:fldCharType="end"/>
          </w:r>
        </w:p>
      </w:sdtContent>
    </w:sdt>
    <w:p w:rsidRPr="00EB284C" w:rsidR="00EB284C" w:rsidP="00EB284C" w:rsidRDefault="00EB284C" w14:paraId="2FDA7698" w14:textId="77777777">
      <w:pPr>
        <w:rPr>
          <w:rFonts w:eastAsia="Arial"/>
        </w:rPr>
      </w:pPr>
    </w:p>
    <w:p w:rsidRPr="00EB284C" w:rsidR="00EB284C" w:rsidRDefault="00EB284C" w14:paraId="6B046342" w14:textId="77777777">
      <w:pPr>
        <w:tabs>
          <w:tab w:val="left" w:pos="426"/>
          <w:tab w:val="left" w:pos="1418"/>
          <w:tab w:val="left" w:pos="1843"/>
          <w:tab w:val="left" w:pos="3544"/>
          <w:tab w:val="left" w:pos="3969"/>
          <w:tab w:val="left" w:pos="6237"/>
          <w:tab w:val="left" w:pos="6663"/>
        </w:tabs>
        <w:ind w:right="567"/>
        <w:rPr>
          <w:b/>
          <w:lang w:val="en-US" w:eastAsia="en-GB"/>
        </w:rPr>
      </w:pPr>
    </w:p>
    <w:p w:rsidR="00DC1C4A" w:rsidRDefault="00DC1C4A" w14:paraId="2260C41A" w14:textId="77777777">
      <w:pPr>
        <w:tabs>
          <w:tab w:val="left" w:pos="426"/>
          <w:tab w:val="left" w:pos="1418"/>
          <w:tab w:val="left" w:pos="1843"/>
          <w:tab w:val="left" w:pos="3544"/>
          <w:tab w:val="left" w:pos="3969"/>
          <w:tab w:val="left" w:pos="6237"/>
          <w:tab w:val="left" w:pos="6663"/>
        </w:tabs>
        <w:ind w:right="567"/>
        <w:rPr>
          <w:b/>
          <w:lang w:val="en-US" w:eastAsia="en-GB"/>
        </w:rPr>
      </w:pPr>
    </w:p>
    <w:p w:rsidRPr="00EB284C" w:rsidR="00EB284C" w:rsidRDefault="00EB284C" w14:paraId="754FED4A" w14:textId="77777777">
      <w:pPr>
        <w:tabs>
          <w:tab w:val="left" w:pos="426"/>
          <w:tab w:val="left" w:pos="1418"/>
          <w:tab w:val="left" w:pos="1843"/>
          <w:tab w:val="left" w:pos="3544"/>
          <w:tab w:val="left" w:pos="3969"/>
          <w:tab w:val="left" w:pos="6237"/>
          <w:tab w:val="left" w:pos="6663"/>
        </w:tabs>
        <w:ind w:right="567"/>
        <w:rPr>
          <w:b/>
          <w:lang w:val="en-US" w:eastAsia="en-GB"/>
        </w:rPr>
      </w:pPr>
    </w:p>
    <w:p w:rsidR="00EB284C" w:rsidP="00077B9D" w:rsidRDefault="00EB284C" w14:paraId="164F138A" w14:textId="77777777">
      <w:pPr>
        <w:pStyle w:val="Subtitle"/>
        <w:jc w:val="left"/>
        <w:rPr>
          <w:rFonts w:ascii="Arial" w:hAnsi="Arial" w:cs="Times New Roman"/>
          <w:bCs w:val="0"/>
          <w:color w:val="auto"/>
        </w:rPr>
      </w:pPr>
    </w:p>
    <w:p w:rsidR="00EB284C" w:rsidP="00077B9D" w:rsidRDefault="00EB284C" w14:paraId="72AD5F16" w14:textId="77777777">
      <w:pPr>
        <w:pStyle w:val="Subtitle"/>
        <w:jc w:val="left"/>
        <w:rPr>
          <w:rFonts w:ascii="Arial" w:hAnsi="Arial" w:cs="Times New Roman"/>
          <w:bCs w:val="0"/>
          <w:color w:val="auto"/>
        </w:rPr>
      </w:pPr>
    </w:p>
    <w:p w:rsidR="00EB284C" w:rsidP="00077B9D" w:rsidRDefault="00EB284C" w14:paraId="0025B38D" w14:textId="77777777">
      <w:pPr>
        <w:pStyle w:val="Subtitle"/>
        <w:jc w:val="left"/>
        <w:rPr>
          <w:rFonts w:ascii="Arial" w:hAnsi="Arial" w:cs="Times New Roman"/>
          <w:bCs w:val="0"/>
          <w:color w:val="auto"/>
        </w:rPr>
      </w:pPr>
    </w:p>
    <w:p w:rsidR="00EB284C" w:rsidP="00077B9D" w:rsidRDefault="00EB284C" w14:paraId="4165D2B5" w14:textId="77777777">
      <w:pPr>
        <w:pStyle w:val="Subtitle"/>
        <w:jc w:val="left"/>
        <w:rPr>
          <w:rFonts w:ascii="Arial" w:hAnsi="Arial" w:cs="Times New Roman"/>
          <w:bCs w:val="0"/>
          <w:color w:val="auto"/>
        </w:rPr>
      </w:pPr>
    </w:p>
    <w:p w:rsidR="00EB284C" w:rsidP="00077B9D" w:rsidRDefault="00EB284C" w14:paraId="7A514337" w14:textId="77777777">
      <w:pPr>
        <w:pStyle w:val="Subtitle"/>
        <w:jc w:val="left"/>
        <w:rPr>
          <w:rFonts w:ascii="Arial" w:hAnsi="Arial" w:cs="Times New Roman"/>
          <w:bCs w:val="0"/>
          <w:color w:val="auto"/>
        </w:rPr>
      </w:pPr>
    </w:p>
    <w:p w:rsidR="00EB284C" w:rsidP="00077B9D" w:rsidRDefault="00EB284C" w14:paraId="1A8C9EED" w14:textId="77777777">
      <w:pPr>
        <w:pStyle w:val="Subtitle"/>
        <w:jc w:val="left"/>
        <w:rPr>
          <w:rFonts w:ascii="Arial" w:hAnsi="Arial" w:cs="Times New Roman"/>
          <w:bCs w:val="0"/>
          <w:color w:val="auto"/>
        </w:rPr>
      </w:pPr>
    </w:p>
    <w:p w:rsidRPr="003A38B0" w:rsidR="00077B9D" w:rsidP="00E62A8D" w:rsidRDefault="000E03AD" w14:paraId="1FB9AD03" w14:textId="77777777">
      <w:pPr>
        <w:pStyle w:val="Heading1"/>
        <w:numPr>
          <w:ilvl w:val="0"/>
          <w:numId w:val="49"/>
        </w:numPr>
        <w:rPr>
          <w:bCs/>
        </w:rPr>
      </w:pPr>
      <w:r>
        <w:rPr>
          <w:u w:val="single"/>
        </w:rPr>
        <w:br w:type="page"/>
      </w:r>
      <w:bookmarkStart w:name="_Toc115692117" w:id="5"/>
      <w:r w:rsidRPr="003A38B0" w:rsidR="003A38B0">
        <w:lastRenderedPageBreak/>
        <w:t>Introduction</w:t>
      </w:r>
      <w:bookmarkEnd w:id="5"/>
    </w:p>
    <w:p w:rsidR="00B476E8" w:rsidP="00077B9D" w:rsidRDefault="00B476E8" w14:paraId="312F076F" w14:textId="77777777">
      <w:pPr>
        <w:pStyle w:val="Subtitle"/>
        <w:jc w:val="left"/>
        <w:rPr>
          <w:rFonts w:ascii="Arial" w:hAnsi="Arial" w:cs="Times New Roman"/>
          <w:bCs w:val="0"/>
          <w:color w:val="auto"/>
        </w:rPr>
      </w:pPr>
    </w:p>
    <w:p w:rsidR="00B476E8" w:rsidP="00077B9D" w:rsidRDefault="00160E93" w14:paraId="743D01C4" w14:textId="77777777">
      <w:pPr>
        <w:pStyle w:val="Subtitle"/>
        <w:jc w:val="left"/>
        <w:rPr>
          <w:rFonts w:ascii="Arial" w:hAnsi="Arial" w:cs="Times New Roman"/>
          <w:b w:val="0"/>
          <w:bCs w:val="0"/>
          <w:color w:val="auto"/>
        </w:rPr>
      </w:pPr>
      <w:r w:rsidRPr="00160E93">
        <w:rPr>
          <w:rFonts w:ascii="Arial" w:hAnsi="Arial" w:cs="Times New Roman"/>
          <w:b w:val="0"/>
          <w:bCs w:val="0"/>
          <w:color w:val="auto"/>
        </w:rPr>
        <w:t>The</w:t>
      </w:r>
      <w:r>
        <w:rPr>
          <w:rFonts w:ascii="Arial" w:hAnsi="Arial" w:cs="Times New Roman"/>
          <w:b w:val="0"/>
          <w:bCs w:val="0"/>
          <w:color w:val="auto"/>
        </w:rPr>
        <w:t xml:space="preserve"> Freedom of Information Act 2000 (FOIA) and Environmental Information Regulations 2004 (EIR)</w:t>
      </w:r>
      <w:r w:rsidR="00BF5E7D">
        <w:rPr>
          <w:rFonts w:ascii="Arial" w:hAnsi="Arial" w:cs="Times New Roman"/>
          <w:b w:val="0"/>
          <w:bCs w:val="0"/>
          <w:color w:val="auto"/>
        </w:rPr>
        <w:t xml:space="preserve"> grant a right to request and access information held by St George’s, University of London (SGUL).  The public has the right to:</w:t>
      </w:r>
    </w:p>
    <w:p w:rsidR="00BF5E7D" w:rsidP="00077B9D" w:rsidRDefault="00BF5E7D" w14:paraId="6379B13D" w14:textId="77777777">
      <w:pPr>
        <w:pStyle w:val="Subtitle"/>
        <w:jc w:val="left"/>
        <w:rPr>
          <w:rFonts w:ascii="Arial" w:hAnsi="Arial" w:cs="Times New Roman"/>
          <w:b w:val="0"/>
          <w:bCs w:val="0"/>
          <w:color w:val="auto"/>
        </w:rPr>
      </w:pPr>
    </w:p>
    <w:p w:rsidR="00BF5E7D" w:rsidP="00BF5E7D" w:rsidRDefault="00BF5E7D" w14:paraId="4E9166DF" w14:textId="77777777">
      <w:pPr>
        <w:pStyle w:val="Subtitle"/>
        <w:numPr>
          <w:ilvl w:val="0"/>
          <w:numId w:val="38"/>
        </w:numPr>
        <w:jc w:val="left"/>
        <w:rPr>
          <w:rFonts w:ascii="Arial" w:hAnsi="Arial" w:cs="Times New Roman"/>
          <w:b w:val="0"/>
          <w:bCs w:val="0"/>
          <w:color w:val="auto"/>
        </w:rPr>
      </w:pPr>
      <w:r>
        <w:rPr>
          <w:rFonts w:ascii="Arial" w:hAnsi="Arial" w:cs="Times New Roman"/>
          <w:b w:val="0"/>
          <w:bCs w:val="0"/>
          <w:color w:val="auto"/>
        </w:rPr>
        <w:t>Access information proactively published via the SGUL Publication scheme</w:t>
      </w:r>
      <w:r w:rsidR="00B024C9">
        <w:rPr>
          <w:rFonts w:ascii="Arial" w:hAnsi="Arial" w:cs="Times New Roman"/>
          <w:b w:val="0"/>
          <w:bCs w:val="0"/>
          <w:color w:val="auto"/>
        </w:rPr>
        <w:t>,</w:t>
      </w:r>
    </w:p>
    <w:p w:rsidR="00B024C9" w:rsidP="00BF5E7D" w:rsidRDefault="00B024C9" w14:paraId="3B246090" w14:textId="77777777">
      <w:pPr>
        <w:pStyle w:val="Subtitle"/>
        <w:numPr>
          <w:ilvl w:val="0"/>
          <w:numId w:val="38"/>
        </w:numPr>
        <w:jc w:val="left"/>
        <w:rPr>
          <w:rFonts w:ascii="Arial" w:hAnsi="Arial" w:cs="Times New Roman"/>
          <w:b w:val="0"/>
          <w:bCs w:val="0"/>
          <w:color w:val="auto"/>
        </w:rPr>
      </w:pPr>
      <w:r>
        <w:rPr>
          <w:rFonts w:ascii="Arial" w:hAnsi="Arial" w:cs="Times New Roman"/>
          <w:b w:val="0"/>
          <w:bCs w:val="0"/>
          <w:color w:val="auto"/>
        </w:rPr>
        <w:t>Request recorded information held by SGUL,</w:t>
      </w:r>
    </w:p>
    <w:p w:rsidRPr="00160E93" w:rsidR="00B024C9" w:rsidP="00BF5E7D" w:rsidRDefault="00B024C9" w14:paraId="7D994F32" w14:textId="77777777">
      <w:pPr>
        <w:pStyle w:val="Subtitle"/>
        <w:numPr>
          <w:ilvl w:val="0"/>
          <w:numId w:val="38"/>
        </w:numPr>
        <w:jc w:val="left"/>
        <w:rPr>
          <w:rFonts w:ascii="Arial" w:hAnsi="Arial" w:cs="Times New Roman"/>
          <w:b w:val="0"/>
          <w:bCs w:val="0"/>
          <w:color w:val="auto"/>
        </w:rPr>
      </w:pPr>
      <w:r>
        <w:rPr>
          <w:rFonts w:ascii="Arial" w:hAnsi="Arial" w:cs="Times New Roman"/>
          <w:b w:val="0"/>
          <w:bCs w:val="0"/>
          <w:color w:val="auto"/>
        </w:rPr>
        <w:t xml:space="preserve">Be informed if SGUL hold the information requested, and, if it is held be given a copy of the information as long as it is not subject to an exemption.  </w:t>
      </w:r>
    </w:p>
    <w:p w:rsidR="00B476E8" w:rsidP="00077B9D" w:rsidRDefault="00B476E8" w14:paraId="7D803E07" w14:textId="77777777">
      <w:pPr>
        <w:pStyle w:val="Subtitle"/>
        <w:jc w:val="left"/>
        <w:rPr>
          <w:rFonts w:ascii="Arial" w:hAnsi="Arial" w:cs="Times New Roman"/>
          <w:bCs w:val="0"/>
          <w:color w:val="auto"/>
        </w:rPr>
      </w:pPr>
    </w:p>
    <w:p w:rsidR="00B476E8" w:rsidP="00E62A8D" w:rsidRDefault="003A38B0" w14:paraId="3BD87EF7" w14:textId="77777777">
      <w:pPr>
        <w:pStyle w:val="Heading1"/>
        <w:numPr>
          <w:ilvl w:val="0"/>
          <w:numId w:val="49"/>
        </w:numPr>
        <w:rPr>
          <w:bCs/>
        </w:rPr>
      </w:pPr>
      <w:bookmarkStart w:name="_Toc115692118" w:id="6"/>
      <w:r>
        <w:t>Scope</w:t>
      </w:r>
      <w:bookmarkEnd w:id="6"/>
      <w:r>
        <w:t xml:space="preserve"> </w:t>
      </w:r>
    </w:p>
    <w:p w:rsidR="003A38B0" w:rsidP="00077B9D" w:rsidRDefault="003A38B0" w14:paraId="7B8B9D46" w14:textId="77777777">
      <w:pPr>
        <w:pStyle w:val="Subtitle"/>
        <w:jc w:val="left"/>
        <w:rPr>
          <w:rFonts w:ascii="Arial" w:hAnsi="Arial" w:cs="Times New Roman"/>
          <w:bCs w:val="0"/>
          <w:color w:val="auto"/>
        </w:rPr>
      </w:pPr>
    </w:p>
    <w:p w:rsidRPr="003A38B0" w:rsidR="003A38B0" w:rsidP="00077B9D" w:rsidRDefault="003A38B0" w14:paraId="361D7493" w14:textId="4CD022D2">
      <w:pPr>
        <w:pStyle w:val="Subtitle"/>
        <w:jc w:val="left"/>
        <w:rPr>
          <w:rFonts w:ascii="Arial" w:hAnsi="Arial" w:cs="Times New Roman"/>
          <w:b w:val="0"/>
          <w:bCs w:val="0"/>
          <w:color w:val="auto"/>
        </w:rPr>
      </w:pPr>
      <w:r>
        <w:rPr>
          <w:rFonts w:ascii="Arial" w:hAnsi="Arial" w:cs="Times New Roman"/>
          <w:b w:val="0"/>
          <w:bCs w:val="0"/>
          <w:color w:val="auto"/>
        </w:rPr>
        <w:t>This policy will apply to all recorded information produced and held by SGUL staff</w:t>
      </w:r>
      <w:r w:rsidR="00611ABD">
        <w:rPr>
          <w:rFonts w:ascii="Arial" w:hAnsi="Arial" w:cs="Times New Roman"/>
          <w:b w:val="0"/>
          <w:bCs w:val="0"/>
          <w:color w:val="auto"/>
        </w:rPr>
        <w:t xml:space="preserve"> </w:t>
      </w:r>
      <w:r>
        <w:rPr>
          <w:rFonts w:ascii="Arial" w:hAnsi="Arial" w:cs="Times New Roman"/>
          <w:b w:val="0"/>
          <w:bCs w:val="0"/>
          <w:color w:val="auto"/>
        </w:rPr>
        <w:t>during the course of their work</w:t>
      </w:r>
      <w:r w:rsidR="00611ABD">
        <w:rPr>
          <w:rFonts w:ascii="Arial" w:hAnsi="Arial" w:cs="Times New Roman"/>
          <w:b w:val="0"/>
          <w:bCs w:val="0"/>
          <w:color w:val="auto"/>
        </w:rPr>
        <w:t xml:space="preserve">, and suppliers and contractors working on behalf of SGUL.  </w:t>
      </w:r>
    </w:p>
    <w:p w:rsidR="00B476E8" w:rsidP="00077B9D" w:rsidRDefault="00B476E8" w14:paraId="230E05D8" w14:textId="77777777">
      <w:pPr>
        <w:pStyle w:val="Subtitle"/>
        <w:jc w:val="left"/>
        <w:rPr>
          <w:rFonts w:ascii="Arial" w:hAnsi="Arial" w:cs="Times New Roman"/>
          <w:bCs w:val="0"/>
          <w:color w:val="auto"/>
        </w:rPr>
      </w:pPr>
    </w:p>
    <w:p w:rsidR="00B476E8" w:rsidP="00E62A8D" w:rsidRDefault="003A38B0" w14:paraId="6C02EC29" w14:textId="6748B0A9">
      <w:pPr>
        <w:pStyle w:val="Heading1"/>
        <w:numPr>
          <w:ilvl w:val="0"/>
          <w:numId w:val="49"/>
        </w:numPr>
        <w:rPr>
          <w:bCs/>
        </w:rPr>
      </w:pPr>
      <w:bookmarkStart w:name="_Toc115692119" w:id="7"/>
      <w:r>
        <w:t>Purpose</w:t>
      </w:r>
      <w:bookmarkEnd w:id="7"/>
      <w:r>
        <w:t xml:space="preserve"> </w:t>
      </w:r>
    </w:p>
    <w:p w:rsidR="007A0831" w:rsidP="00077B9D" w:rsidRDefault="007A0831" w14:paraId="6AAE3B21" w14:textId="391F44DE">
      <w:pPr>
        <w:pStyle w:val="Subtitle"/>
        <w:jc w:val="left"/>
        <w:rPr>
          <w:rFonts w:ascii="Arial" w:hAnsi="Arial" w:cs="Times New Roman"/>
          <w:bCs w:val="0"/>
          <w:color w:val="auto"/>
        </w:rPr>
      </w:pPr>
    </w:p>
    <w:p w:rsidR="007A0831" w:rsidP="00077B9D" w:rsidRDefault="00611ABD" w14:paraId="7FA1D75B" w14:textId="16333E01">
      <w:pPr>
        <w:pStyle w:val="Subtitle"/>
        <w:jc w:val="left"/>
        <w:rPr>
          <w:rFonts w:ascii="Arial" w:hAnsi="Arial" w:cs="Times New Roman"/>
          <w:b w:val="0"/>
          <w:bCs w:val="0"/>
          <w:color w:val="auto"/>
        </w:rPr>
      </w:pPr>
      <w:r>
        <w:rPr>
          <w:rFonts w:ascii="Arial" w:hAnsi="Arial" w:cs="Times New Roman"/>
          <w:b w:val="0"/>
          <w:bCs w:val="0"/>
          <w:color w:val="auto"/>
        </w:rPr>
        <w:t>The purpose of this policy is to provide a framework for complying with the FOIA and EIR, and ensure:</w:t>
      </w:r>
    </w:p>
    <w:p w:rsidR="00611ABD" w:rsidP="00077B9D" w:rsidRDefault="00611ABD" w14:paraId="46DE7186" w14:textId="5EB5EE41">
      <w:pPr>
        <w:pStyle w:val="Subtitle"/>
        <w:jc w:val="left"/>
        <w:rPr>
          <w:rFonts w:ascii="Arial" w:hAnsi="Arial" w:cs="Times New Roman"/>
          <w:b w:val="0"/>
          <w:bCs w:val="0"/>
          <w:color w:val="auto"/>
        </w:rPr>
      </w:pPr>
    </w:p>
    <w:p w:rsidR="00611ABD" w:rsidP="00611ABD" w:rsidRDefault="00611ABD" w14:paraId="048225E2" w14:textId="1C406099">
      <w:pPr>
        <w:pStyle w:val="Subtitle"/>
        <w:numPr>
          <w:ilvl w:val="0"/>
          <w:numId w:val="45"/>
        </w:numPr>
        <w:jc w:val="left"/>
        <w:rPr>
          <w:rFonts w:ascii="Arial" w:hAnsi="Arial" w:cs="Times New Roman"/>
          <w:b w:val="0"/>
          <w:bCs w:val="0"/>
          <w:color w:val="auto"/>
        </w:rPr>
      </w:pPr>
      <w:r>
        <w:rPr>
          <w:rFonts w:ascii="Arial" w:hAnsi="Arial" w:cs="Times New Roman"/>
          <w:b w:val="0"/>
          <w:bCs w:val="0"/>
          <w:color w:val="auto"/>
        </w:rPr>
        <w:t>Information about SGUL and its activities is made publicly available via a Publication Scheme,</w:t>
      </w:r>
    </w:p>
    <w:p w:rsidR="00611ABD" w:rsidP="00611ABD" w:rsidRDefault="00611ABD" w14:paraId="6CC684BA" w14:textId="0FC986F8">
      <w:pPr>
        <w:pStyle w:val="Subtitle"/>
        <w:numPr>
          <w:ilvl w:val="0"/>
          <w:numId w:val="45"/>
        </w:numPr>
        <w:jc w:val="left"/>
        <w:rPr>
          <w:rFonts w:ascii="Arial" w:hAnsi="Arial" w:cs="Times New Roman"/>
          <w:b w:val="0"/>
          <w:bCs w:val="0"/>
          <w:color w:val="auto"/>
        </w:rPr>
      </w:pPr>
      <w:r>
        <w:rPr>
          <w:rFonts w:ascii="Arial" w:hAnsi="Arial" w:cs="Times New Roman"/>
          <w:b w:val="0"/>
          <w:bCs w:val="0"/>
          <w:color w:val="auto"/>
        </w:rPr>
        <w:t>Information not available via the Publication Scheme is made available upon request,</w:t>
      </w:r>
    </w:p>
    <w:p w:rsidR="00611ABD" w:rsidP="00611ABD" w:rsidRDefault="00611ABD" w14:paraId="414B7FA8" w14:textId="6B33199F">
      <w:pPr>
        <w:pStyle w:val="Subtitle"/>
        <w:numPr>
          <w:ilvl w:val="0"/>
          <w:numId w:val="45"/>
        </w:numPr>
        <w:jc w:val="left"/>
        <w:rPr>
          <w:rFonts w:ascii="Arial" w:hAnsi="Arial" w:cs="Times New Roman"/>
          <w:b w:val="0"/>
          <w:bCs w:val="0"/>
          <w:color w:val="auto"/>
        </w:rPr>
      </w:pPr>
      <w:r>
        <w:rPr>
          <w:rFonts w:ascii="Arial" w:hAnsi="Arial" w:cs="Times New Roman"/>
          <w:b w:val="0"/>
          <w:bCs w:val="0"/>
          <w:color w:val="auto"/>
        </w:rPr>
        <w:t xml:space="preserve">Requests are processed within the timeframe set out in the legislation, and </w:t>
      </w:r>
    </w:p>
    <w:p w:rsidRPr="007A0831" w:rsidR="00611ABD" w:rsidP="00611ABD" w:rsidRDefault="0006425D" w14:paraId="226AD689" w14:textId="5ACC951C">
      <w:pPr>
        <w:pStyle w:val="Subtitle"/>
        <w:numPr>
          <w:ilvl w:val="0"/>
          <w:numId w:val="45"/>
        </w:numPr>
        <w:jc w:val="left"/>
        <w:rPr>
          <w:rFonts w:ascii="Arial" w:hAnsi="Arial" w:cs="Times New Roman"/>
          <w:b w:val="0"/>
          <w:bCs w:val="0"/>
          <w:color w:val="auto"/>
        </w:rPr>
      </w:pPr>
      <w:r>
        <w:rPr>
          <w:rFonts w:ascii="Arial" w:hAnsi="Arial" w:cs="Times New Roman"/>
          <w:b w:val="0"/>
          <w:bCs w:val="0"/>
          <w:color w:val="auto"/>
        </w:rPr>
        <w:t>When considering if an exemption applies to information held, due consideration</w:t>
      </w:r>
      <w:r w:rsidR="00AA4725">
        <w:rPr>
          <w:rFonts w:ascii="Arial" w:hAnsi="Arial" w:cs="Times New Roman"/>
          <w:b w:val="0"/>
          <w:bCs w:val="0"/>
          <w:color w:val="auto"/>
        </w:rPr>
        <w:t xml:space="preserve"> will be given as to whether or not it is in the public interest to release the information regardless.  </w:t>
      </w:r>
    </w:p>
    <w:p w:rsidRPr="00077B9D" w:rsidR="00B476E8" w:rsidP="00077B9D" w:rsidRDefault="00B476E8" w14:paraId="472ABFAE" w14:textId="77777777">
      <w:pPr>
        <w:pStyle w:val="Subtitle"/>
        <w:jc w:val="left"/>
        <w:rPr>
          <w:rFonts w:ascii="Arial" w:hAnsi="Arial" w:cs="Times New Roman"/>
          <w:bCs w:val="0"/>
          <w:color w:val="auto"/>
        </w:rPr>
      </w:pPr>
    </w:p>
    <w:p w:rsidRPr="00AA4725" w:rsidR="00DF7074" w:rsidP="00E62A8D" w:rsidRDefault="00AA4725" w14:paraId="4E084782" w14:textId="7F8A700D">
      <w:pPr>
        <w:pStyle w:val="Heading1"/>
        <w:numPr>
          <w:ilvl w:val="0"/>
          <w:numId w:val="49"/>
        </w:numPr>
      </w:pPr>
      <w:bookmarkStart w:name="_Toc115692120" w:id="8"/>
      <w:r w:rsidRPr="00AA4725">
        <w:t>Responsibilities</w:t>
      </w:r>
      <w:bookmarkEnd w:id="8"/>
      <w:r w:rsidRPr="00AA4725">
        <w:t xml:space="preserve"> </w:t>
      </w:r>
    </w:p>
    <w:p w:rsidRPr="00AA4725" w:rsidR="00AA4725" w:rsidP="00DF7074" w:rsidRDefault="00AA4725" w14:paraId="7CF998BB" w14:textId="0E654170">
      <w:pPr>
        <w:rPr>
          <w:rFonts w:eastAsia="Times New Roman"/>
          <w:sz w:val="24"/>
          <w:szCs w:val="24"/>
          <w:lang w:val="en-US" w:eastAsia="en-GB"/>
        </w:rPr>
      </w:pPr>
    </w:p>
    <w:p w:rsidR="00083ADD" w:rsidP="00083ADD" w:rsidRDefault="00083ADD" w14:paraId="549D6BCE" w14:textId="36AA24D2">
      <w:pPr>
        <w:pStyle w:val="Subtitle"/>
        <w:jc w:val="left"/>
        <w:rPr>
          <w:rFonts w:ascii="Arial" w:hAnsi="Arial" w:cs="Times New Roman"/>
          <w:b w:val="0"/>
          <w:bCs w:val="0"/>
          <w:color w:val="auto"/>
        </w:rPr>
      </w:pPr>
      <w:r w:rsidRPr="00083ADD">
        <w:rPr>
          <w:rFonts w:ascii="Arial" w:hAnsi="Arial" w:cs="Times New Roman"/>
          <w:b w:val="0"/>
          <w:bCs w:val="0"/>
          <w:color w:val="auto"/>
        </w:rPr>
        <w:t xml:space="preserve">The member of staff with overall responsibility for the FOI and EIR regime is the Principal who has designated the Chief Operating Officer (COO) to be </w:t>
      </w:r>
      <w:r>
        <w:rPr>
          <w:rFonts w:ascii="Arial" w:hAnsi="Arial" w:cs="Times New Roman"/>
          <w:b w:val="0"/>
          <w:bCs w:val="0"/>
          <w:color w:val="auto"/>
        </w:rPr>
        <w:t>the l</w:t>
      </w:r>
      <w:r w:rsidRPr="00083ADD">
        <w:rPr>
          <w:rFonts w:ascii="Arial" w:hAnsi="Arial" w:cs="Times New Roman"/>
          <w:b w:val="0"/>
          <w:bCs w:val="0"/>
          <w:color w:val="auto"/>
        </w:rPr>
        <w:t>ead for</w:t>
      </w:r>
      <w:r>
        <w:rPr>
          <w:rFonts w:ascii="Arial" w:hAnsi="Arial" w:cs="Times New Roman"/>
          <w:b w:val="0"/>
          <w:bCs w:val="0"/>
          <w:color w:val="auto"/>
        </w:rPr>
        <w:t xml:space="preserve"> SGUL</w:t>
      </w:r>
      <w:r w:rsidRPr="00083ADD">
        <w:rPr>
          <w:rFonts w:ascii="Arial" w:hAnsi="Arial" w:cs="Times New Roman"/>
          <w:b w:val="0"/>
          <w:bCs w:val="0"/>
          <w:color w:val="auto"/>
        </w:rPr>
        <w:t>.</w:t>
      </w:r>
    </w:p>
    <w:p w:rsidR="00083ADD" w:rsidP="00083ADD" w:rsidRDefault="00083ADD" w14:paraId="38534D2E" w14:textId="6EC49CB9">
      <w:pPr>
        <w:pStyle w:val="Subtitle"/>
        <w:jc w:val="left"/>
        <w:rPr>
          <w:rFonts w:ascii="Arial" w:hAnsi="Arial" w:cs="Times New Roman"/>
          <w:b w:val="0"/>
          <w:bCs w:val="0"/>
          <w:color w:val="auto"/>
        </w:rPr>
      </w:pPr>
    </w:p>
    <w:p w:rsidR="004E62F5" w:rsidP="00083ADD" w:rsidRDefault="004E62F5" w14:paraId="7D68B9B6" w14:textId="7D9EE78F">
      <w:pPr>
        <w:pStyle w:val="Subtitle"/>
        <w:jc w:val="left"/>
        <w:rPr>
          <w:rFonts w:ascii="Arial" w:hAnsi="Arial" w:cs="Times New Roman"/>
          <w:b w:val="0"/>
          <w:bCs w:val="0"/>
          <w:color w:val="auto"/>
        </w:rPr>
      </w:pPr>
      <w:r>
        <w:rPr>
          <w:rFonts w:ascii="Arial" w:hAnsi="Arial" w:cs="Times New Roman"/>
          <w:b w:val="0"/>
          <w:bCs w:val="0"/>
          <w:color w:val="auto"/>
        </w:rPr>
        <w:t xml:space="preserve">The Senior Governance Officer (Risk Management) is responsible for managing requests received by SGUL, liaising with staff responsible for compiling the response to the request, assist with appeals or complaints, and promoting awareness of the FOIA and EIR throughout SGUL.  </w:t>
      </w:r>
    </w:p>
    <w:p w:rsidR="004E62F5" w:rsidP="00083ADD" w:rsidRDefault="004E62F5" w14:paraId="15BCDA44" w14:textId="77777777">
      <w:pPr>
        <w:pStyle w:val="Subtitle"/>
        <w:jc w:val="left"/>
        <w:rPr>
          <w:rFonts w:ascii="Arial" w:hAnsi="Arial" w:cs="Times New Roman"/>
          <w:b w:val="0"/>
          <w:bCs w:val="0"/>
          <w:color w:val="auto"/>
        </w:rPr>
      </w:pPr>
    </w:p>
    <w:p w:rsidR="00083ADD" w:rsidP="00083ADD" w:rsidRDefault="00083ADD" w14:paraId="3D7982D5" w14:textId="24B94CA1">
      <w:pPr>
        <w:pStyle w:val="Subtitle"/>
        <w:jc w:val="left"/>
        <w:rPr>
          <w:rFonts w:ascii="Arial" w:hAnsi="Arial" w:cs="Times New Roman"/>
          <w:b w:val="0"/>
          <w:bCs w:val="0"/>
          <w:color w:val="auto"/>
        </w:rPr>
      </w:pPr>
      <w:r>
        <w:rPr>
          <w:rFonts w:ascii="Arial" w:hAnsi="Arial" w:cs="Times New Roman"/>
          <w:b w:val="0"/>
          <w:bCs w:val="0"/>
          <w:color w:val="auto"/>
        </w:rPr>
        <w:t xml:space="preserve">The Records Manager is responsible for ensuring the currency of the publication scheme, disclosure log, policy and procedures, developing guidance material and promoting compliance with the FOIA and EIR via training, the Welcome Seminar, and the SGUL Intranet, and supporting the Senior Governance Officer (Risk Management) with processing requests as required.  The Records Manager will ensure </w:t>
      </w:r>
      <w:proofErr w:type="spellStart"/>
      <w:r w:rsidR="0023429D">
        <w:rPr>
          <w:rFonts w:ascii="Arial" w:hAnsi="Arial" w:cs="Times New Roman"/>
          <w:b w:val="0"/>
          <w:bCs w:val="0"/>
          <w:color w:val="auto"/>
        </w:rPr>
        <w:t>organisational</w:t>
      </w:r>
      <w:proofErr w:type="spellEnd"/>
      <w:r>
        <w:rPr>
          <w:rFonts w:ascii="Arial" w:hAnsi="Arial" w:cs="Times New Roman"/>
          <w:b w:val="0"/>
          <w:bCs w:val="0"/>
          <w:color w:val="auto"/>
        </w:rPr>
        <w:t xml:space="preserve"> compliance with the Records Management Code of Practice (S.46) </w:t>
      </w:r>
      <w:r w:rsidR="004E62F5">
        <w:rPr>
          <w:rFonts w:ascii="Arial" w:hAnsi="Arial" w:cs="Times New Roman"/>
          <w:b w:val="0"/>
          <w:bCs w:val="0"/>
          <w:color w:val="auto"/>
        </w:rPr>
        <w:t xml:space="preserve">and the Information Commissioners Office Code of Practice Section 45.  </w:t>
      </w:r>
    </w:p>
    <w:p w:rsidR="004E62F5" w:rsidP="00083ADD" w:rsidRDefault="004E62F5" w14:paraId="164E6203" w14:textId="5812D193">
      <w:pPr>
        <w:pStyle w:val="Subtitle"/>
        <w:jc w:val="left"/>
        <w:rPr>
          <w:rFonts w:ascii="Arial" w:hAnsi="Arial" w:cs="Times New Roman"/>
          <w:b w:val="0"/>
          <w:bCs w:val="0"/>
          <w:color w:val="auto"/>
        </w:rPr>
      </w:pPr>
    </w:p>
    <w:p w:rsidR="004E62F5" w:rsidP="00083ADD" w:rsidRDefault="004E62F5" w14:paraId="64FECEFD" w14:textId="42313DE9">
      <w:pPr>
        <w:pStyle w:val="Subtitle"/>
        <w:jc w:val="left"/>
        <w:rPr>
          <w:rFonts w:ascii="Arial" w:hAnsi="Arial" w:cs="Times New Roman"/>
          <w:b w:val="0"/>
          <w:bCs w:val="0"/>
          <w:color w:val="auto"/>
        </w:rPr>
      </w:pPr>
      <w:r>
        <w:rPr>
          <w:rFonts w:ascii="Arial" w:hAnsi="Arial" w:cs="Times New Roman"/>
          <w:b w:val="0"/>
          <w:bCs w:val="0"/>
          <w:color w:val="auto"/>
        </w:rPr>
        <w:t xml:space="preserve">The FOI Leads located within Professional </w:t>
      </w:r>
      <w:r w:rsidR="0023429D">
        <w:rPr>
          <w:rFonts w:ascii="Arial" w:hAnsi="Arial" w:cs="Times New Roman"/>
          <w:b w:val="0"/>
          <w:bCs w:val="0"/>
          <w:color w:val="auto"/>
        </w:rPr>
        <w:t>Services</w:t>
      </w:r>
      <w:r>
        <w:rPr>
          <w:rFonts w:ascii="Arial" w:hAnsi="Arial" w:cs="Times New Roman"/>
          <w:b w:val="0"/>
          <w:bCs w:val="0"/>
          <w:color w:val="auto"/>
        </w:rPr>
        <w:t xml:space="preserve"> and the Research Institutes will co-ordinate the local response to requests for information, act as a first point of contact, and raise concerns or queries regarding the request with the Senior Governance (Risk Management).  </w:t>
      </w:r>
    </w:p>
    <w:p w:rsidR="0023429D" w:rsidP="00083ADD" w:rsidRDefault="0023429D" w14:paraId="7620EF5B" w14:textId="688B5C7C">
      <w:pPr>
        <w:pStyle w:val="Subtitle"/>
        <w:jc w:val="left"/>
        <w:rPr>
          <w:rFonts w:ascii="Arial" w:hAnsi="Arial" w:cs="Times New Roman"/>
          <w:b w:val="0"/>
          <w:bCs w:val="0"/>
          <w:color w:val="auto"/>
        </w:rPr>
      </w:pPr>
    </w:p>
    <w:p w:rsidR="0023429D" w:rsidP="00083ADD" w:rsidRDefault="0023429D" w14:paraId="4567E693" w14:textId="7DA382B8">
      <w:pPr>
        <w:pStyle w:val="Subtitle"/>
        <w:jc w:val="left"/>
        <w:rPr>
          <w:rFonts w:ascii="Arial" w:hAnsi="Arial" w:cs="Times New Roman"/>
          <w:b w:val="0"/>
          <w:bCs w:val="0"/>
          <w:color w:val="auto"/>
        </w:rPr>
      </w:pPr>
      <w:r>
        <w:rPr>
          <w:rFonts w:ascii="Arial" w:hAnsi="Arial" w:cs="Times New Roman"/>
          <w:b w:val="0"/>
          <w:bCs w:val="0"/>
          <w:color w:val="auto"/>
        </w:rPr>
        <w:t xml:space="preserve">The Head of Information Governance will respond to requests for review from the public.  </w:t>
      </w:r>
    </w:p>
    <w:p w:rsidR="00835C4E" w:rsidP="00083ADD" w:rsidRDefault="00835C4E" w14:paraId="3A2EB19F" w14:textId="64F8AFAE">
      <w:pPr>
        <w:pStyle w:val="Subtitle"/>
        <w:jc w:val="left"/>
        <w:rPr>
          <w:rFonts w:ascii="Arial" w:hAnsi="Arial" w:cs="Times New Roman"/>
          <w:b w:val="0"/>
          <w:bCs w:val="0"/>
          <w:color w:val="auto"/>
        </w:rPr>
      </w:pPr>
    </w:p>
    <w:p w:rsidRPr="000412BD" w:rsidR="00835C4E" w:rsidP="00E62A8D" w:rsidRDefault="000412BD" w14:paraId="16751DFE" w14:textId="39E59F17">
      <w:pPr>
        <w:pStyle w:val="Heading1"/>
        <w:numPr>
          <w:ilvl w:val="0"/>
          <w:numId w:val="49"/>
        </w:numPr>
        <w:rPr>
          <w:rFonts w:eastAsia="Times New Roman"/>
          <w:sz w:val="24"/>
          <w:szCs w:val="24"/>
          <w:lang w:val="en-US" w:eastAsia="en-GB"/>
        </w:rPr>
      </w:pPr>
      <w:bookmarkStart w:name="_Toc115692121" w:id="9"/>
      <w:r w:rsidRPr="000412BD">
        <w:lastRenderedPageBreak/>
        <w:t>Publication Scheme</w:t>
      </w:r>
      <w:bookmarkEnd w:id="9"/>
    </w:p>
    <w:p w:rsidRPr="00083ADD" w:rsidR="00AA4725" w:rsidP="00083ADD" w:rsidRDefault="00AA4725" w14:paraId="5D8C10C5" w14:textId="46E4DA74">
      <w:pPr>
        <w:pStyle w:val="Subtitle"/>
        <w:jc w:val="left"/>
        <w:rPr>
          <w:rFonts w:ascii="Arial" w:hAnsi="Arial" w:cs="Times New Roman"/>
          <w:b w:val="0"/>
          <w:bCs w:val="0"/>
          <w:color w:val="auto"/>
        </w:rPr>
      </w:pPr>
    </w:p>
    <w:p w:rsidR="000412BD" w:rsidP="004E62F5" w:rsidRDefault="000412BD" w14:paraId="109860FE" w14:textId="3B30841C">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The FOIA requires that SGUL proactively publishes certain classes of information such as policies and procedures, financial information, and minute of meetings in a publication scheme.  The Information Commissioners Office (ICO) has created a model publication scheme that stipulates information that should be disclosed as a matter of course.  The publication scheme provide</w:t>
      </w:r>
      <w:r w:rsidR="00F13987">
        <w:rPr>
          <w:rFonts w:eastAsia="Times New Roman"/>
          <w:sz w:val="24"/>
          <w:szCs w:val="24"/>
          <w:lang w:val="en-US" w:eastAsia="en-GB"/>
        </w:rPr>
        <w:t>s</w:t>
      </w:r>
      <w:r>
        <w:rPr>
          <w:rFonts w:eastAsia="Times New Roman"/>
          <w:sz w:val="24"/>
          <w:szCs w:val="24"/>
          <w:lang w:val="en-US" w:eastAsia="en-GB"/>
        </w:rPr>
        <w:t xml:space="preserve"> details of where the public can access information and whether or not there will be a charge to access the information.  </w:t>
      </w:r>
      <w:r w:rsidR="00F13987">
        <w:rPr>
          <w:rFonts w:eastAsia="Times New Roman"/>
          <w:sz w:val="24"/>
          <w:szCs w:val="24"/>
          <w:lang w:val="en-US" w:eastAsia="en-GB"/>
        </w:rPr>
        <w:t xml:space="preserve">The publication </w:t>
      </w:r>
      <w:r w:rsidR="004A3541">
        <w:rPr>
          <w:rFonts w:eastAsia="Times New Roman"/>
          <w:sz w:val="24"/>
          <w:szCs w:val="24"/>
          <w:lang w:val="en-US" w:eastAsia="en-GB"/>
        </w:rPr>
        <w:t xml:space="preserve">scheme will be reviewed annually to ensure currency.  </w:t>
      </w:r>
    </w:p>
    <w:p w:rsidR="000412BD" w:rsidP="004E62F5" w:rsidRDefault="000412BD" w14:paraId="682A4BFA" w14:textId="39B1A829">
      <w:pPr>
        <w:tabs>
          <w:tab w:val="left" w:pos="709"/>
        </w:tabs>
        <w:autoSpaceDE w:val="0"/>
        <w:autoSpaceDN w:val="0"/>
        <w:rPr>
          <w:rFonts w:eastAsia="Times New Roman"/>
          <w:sz w:val="24"/>
          <w:szCs w:val="24"/>
          <w:lang w:val="en-US" w:eastAsia="en-GB"/>
        </w:rPr>
      </w:pPr>
    </w:p>
    <w:p w:rsidRPr="004A3541" w:rsidR="000412BD" w:rsidP="00E62A8D" w:rsidRDefault="004A3541" w14:paraId="6F8D0DC6" w14:textId="1A9B6372">
      <w:pPr>
        <w:pStyle w:val="Heading1"/>
        <w:numPr>
          <w:ilvl w:val="0"/>
          <w:numId w:val="49"/>
        </w:numPr>
      </w:pPr>
      <w:bookmarkStart w:name="_Toc115692122" w:id="10"/>
      <w:r w:rsidRPr="004A3541">
        <w:t>Requests for Information</w:t>
      </w:r>
      <w:bookmarkEnd w:id="10"/>
      <w:r w:rsidRPr="004A3541">
        <w:t xml:space="preserve"> </w:t>
      </w:r>
    </w:p>
    <w:p w:rsidR="004A3541" w:rsidP="004E62F5" w:rsidRDefault="004A3541" w14:paraId="5642D58B" w14:textId="5D071A20">
      <w:pPr>
        <w:tabs>
          <w:tab w:val="left" w:pos="709"/>
        </w:tabs>
        <w:autoSpaceDE w:val="0"/>
        <w:autoSpaceDN w:val="0"/>
        <w:rPr>
          <w:rFonts w:eastAsia="Times New Roman"/>
          <w:sz w:val="24"/>
          <w:szCs w:val="24"/>
          <w:lang w:val="en-US" w:eastAsia="en-GB"/>
        </w:rPr>
      </w:pPr>
    </w:p>
    <w:p w:rsidR="004A3541" w:rsidP="004E62F5" w:rsidRDefault="004A3541" w14:paraId="7482154A" w14:textId="2521B132">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 xml:space="preserve">The legislation </w:t>
      </w:r>
      <w:r w:rsidR="00860C02">
        <w:rPr>
          <w:rFonts w:eastAsia="Times New Roman"/>
          <w:sz w:val="24"/>
          <w:szCs w:val="24"/>
          <w:lang w:val="en-US" w:eastAsia="en-GB"/>
        </w:rPr>
        <w:t>confers several rights on the public:</w:t>
      </w:r>
    </w:p>
    <w:p w:rsidR="00860C02" w:rsidP="004E62F5" w:rsidRDefault="00860C02" w14:paraId="189792E0" w14:textId="09EA4856">
      <w:pPr>
        <w:tabs>
          <w:tab w:val="left" w:pos="709"/>
        </w:tabs>
        <w:autoSpaceDE w:val="0"/>
        <w:autoSpaceDN w:val="0"/>
        <w:rPr>
          <w:rFonts w:eastAsia="Times New Roman"/>
          <w:sz w:val="24"/>
          <w:szCs w:val="24"/>
          <w:lang w:val="en-US" w:eastAsia="en-GB"/>
        </w:rPr>
      </w:pPr>
    </w:p>
    <w:p w:rsidR="00860C02" w:rsidP="00860C02" w:rsidRDefault="00860C02" w14:paraId="7BE5BE1D" w14:textId="728470EC">
      <w:pPr>
        <w:pStyle w:val="ListParagraph"/>
        <w:numPr>
          <w:ilvl w:val="0"/>
          <w:numId w:val="46"/>
        </w:numPr>
        <w:tabs>
          <w:tab w:val="left" w:pos="709"/>
        </w:tabs>
        <w:autoSpaceDE w:val="0"/>
        <w:autoSpaceDN w:val="0"/>
        <w:rPr>
          <w:rFonts w:eastAsia="Times New Roman"/>
          <w:sz w:val="24"/>
          <w:szCs w:val="24"/>
          <w:lang w:val="en-US" w:eastAsia="en-GB"/>
        </w:rPr>
      </w:pPr>
      <w:r>
        <w:rPr>
          <w:rFonts w:eastAsia="Times New Roman"/>
          <w:sz w:val="24"/>
          <w:szCs w:val="24"/>
          <w:lang w:val="en-US" w:eastAsia="en-GB"/>
        </w:rPr>
        <w:t xml:space="preserve">The right to be informed if information exists, </w:t>
      </w:r>
    </w:p>
    <w:p w:rsidR="00860C02" w:rsidP="00860C02" w:rsidRDefault="00860C02" w14:paraId="5282BAA1" w14:textId="3FFF0B3E">
      <w:pPr>
        <w:pStyle w:val="ListParagraph"/>
        <w:numPr>
          <w:ilvl w:val="0"/>
          <w:numId w:val="46"/>
        </w:numPr>
        <w:tabs>
          <w:tab w:val="left" w:pos="709"/>
        </w:tabs>
        <w:autoSpaceDE w:val="0"/>
        <w:autoSpaceDN w:val="0"/>
        <w:rPr>
          <w:rFonts w:eastAsia="Times New Roman"/>
          <w:sz w:val="24"/>
          <w:szCs w:val="24"/>
          <w:lang w:val="en-US" w:eastAsia="en-GB"/>
        </w:rPr>
      </w:pPr>
      <w:r>
        <w:rPr>
          <w:rFonts w:eastAsia="Times New Roman"/>
          <w:sz w:val="24"/>
          <w:szCs w:val="24"/>
          <w:lang w:val="en-US" w:eastAsia="en-GB"/>
        </w:rPr>
        <w:t>The right to obtain a copy of the information, subject to exemption,</w:t>
      </w:r>
    </w:p>
    <w:p w:rsidRPr="00860C02" w:rsidR="00860C02" w:rsidP="00860C02" w:rsidRDefault="00860C02" w14:paraId="365F26A9" w14:textId="5E606040">
      <w:pPr>
        <w:pStyle w:val="ListParagraph"/>
        <w:numPr>
          <w:ilvl w:val="0"/>
          <w:numId w:val="46"/>
        </w:numPr>
        <w:tabs>
          <w:tab w:val="left" w:pos="709"/>
        </w:tabs>
        <w:autoSpaceDE w:val="0"/>
        <w:autoSpaceDN w:val="0"/>
        <w:rPr>
          <w:rFonts w:eastAsia="Times New Roman"/>
          <w:sz w:val="24"/>
          <w:szCs w:val="24"/>
          <w:lang w:val="en-US" w:eastAsia="en-GB"/>
        </w:rPr>
      </w:pPr>
      <w:r>
        <w:rPr>
          <w:rFonts w:eastAsia="Times New Roman"/>
          <w:sz w:val="24"/>
          <w:szCs w:val="24"/>
          <w:lang w:val="en-US" w:eastAsia="en-GB"/>
        </w:rPr>
        <w:t>The right to appeal internally</w:t>
      </w:r>
      <w:r w:rsidR="009369E0">
        <w:rPr>
          <w:rFonts w:eastAsia="Times New Roman"/>
          <w:sz w:val="24"/>
          <w:szCs w:val="24"/>
          <w:lang w:val="en-US" w:eastAsia="en-GB"/>
        </w:rPr>
        <w:t>,</w:t>
      </w:r>
      <w:r>
        <w:rPr>
          <w:rFonts w:eastAsia="Times New Roman"/>
          <w:sz w:val="24"/>
          <w:szCs w:val="24"/>
          <w:lang w:val="en-US" w:eastAsia="en-GB"/>
        </w:rPr>
        <w:t xml:space="preserve"> and then externally to the ICO </w:t>
      </w:r>
      <w:r w:rsidR="00F13987">
        <w:rPr>
          <w:rFonts w:eastAsia="Times New Roman"/>
          <w:sz w:val="24"/>
          <w:szCs w:val="24"/>
          <w:lang w:val="en-US" w:eastAsia="en-GB"/>
        </w:rPr>
        <w:t xml:space="preserve">if the requestor is unhappy with the response.  </w:t>
      </w:r>
    </w:p>
    <w:p w:rsidRPr="00AA4725" w:rsidR="009332BA" w:rsidP="009332BA" w:rsidRDefault="00077B9D" w14:paraId="0DBF4304" w14:textId="77777777">
      <w:pPr>
        <w:tabs>
          <w:tab w:val="left" w:pos="540"/>
        </w:tabs>
        <w:ind w:left="540"/>
        <w:rPr>
          <w:sz w:val="24"/>
          <w:szCs w:val="24"/>
        </w:rPr>
      </w:pPr>
      <w:r w:rsidRPr="00AA4725">
        <w:rPr>
          <w:sz w:val="24"/>
          <w:szCs w:val="24"/>
        </w:rPr>
        <w:t xml:space="preserve"> </w:t>
      </w:r>
    </w:p>
    <w:p w:rsidR="009332BA" w:rsidP="00DD73A0" w:rsidRDefault="00DD73A0" w14:paraId="53525F78" w14:textId="0CE5FAF5">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Under the FOIA requests must be made in writing.  The EIR allow a requestor to make their requests both in writing and verbally.  The EIR also allows a requestor to view the information onsite should they wish to do so.</w:t>
      </w:r>
    </w:p>
    <w:p w:rsidR="00DD73A0" w:rsidP="00DD73A0" w:rsidRDefault="00DD73A0" w14:paraId="6DD95248" w14:textId="453686B9">
      <w:pPr>
        <w:tabs>
          <w:tab w:val="left" w:pos="709"/>
        </w:tabs>
        <w:autoSpaceDE w:val="0"/>
        <w:autoSpaceDN w:val="0"/>
        <w:rPr>
          <w:rFonts w:eastAsia="Times New Roman"/>
          <w:sz w:val="24"/>
          <w:szCs w:val="24"/>
          <w:lang w:val="en-US" w:eastAsia="en-GB"/>
        </w:rPr>
      </w:pPr>
    </w:p>
    <w:p w:rsidR="00DD73A0" w:rsidP="00DD73A0" w:rsidRDefault="00DD73A0" w14:paraId="57DB36B4" w14:textId="7CADE487">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Requestors are entitled to any recorded information that is not subject to an exemption.  However, as much information as possible will be released</w:t>
      </w:r>
      <w:r w:rsidR="005C240C">
        <w:rPr>
          <w:rFonts w:eastAsia="Times New Roman"/>
          <w:sz w:val="24"/>
          <w:szCs w:val="24"/>
          <w:lang w:val="en-US" w:eastAsia="en-GB"/>
        </w:rPr>
        <w:t>,</w:t>
      </w:r>
      <w:r>
        <w:rPr>
          <w:rFonts w:eastAsia="Times New Roman"/>
          <w:sz w:val="24"/>
          <w:szCs w:val="24"/>
          <w:lang w:val="en-US" w:eastAsia="en-GB"/>
        </w:rPr>
        <w:t xml:space="preserve"> and SGUL will offer advice and assistance </w:t>
      </w:r>
      <w:r w:rsidR="0012123D">
        <w:rPr>
          <w:rFonts w:eastAsia="Times New Roman"/>
          <w:sz w:val="24"/>
          <w:szCs w:val="24"/>
          <w:lang w:val="en-US" w:eastAsia="en-GB"/>
        </w:rPr>
        <w:t xml:space="preserve">to the requestor </w:t>
      </w:r>
      <w:r w:rsidR="005C240C">
        <w:rPr>
          <w:rFonts w:eastAsia="Times New Roman"/>
          <w:sz w:val="24"/>
          <w:szCs w:val="24"/>
          <w:lang w:val="en-US" w:eastAsia="en-GB"/>
        </w:rPr>
        <w:t xml:space="preserve">to assist them with refining their request.  </w:t>
      </w:r>
    </w:p>
    <w:p w:rsidR="005C240C" w:rsidP="00DD73A0" w:rsidRDefault="005C240C" w14:paraId="36251A69" w14:textId="4873024A">
      <w:pPr>
        <w:tabs>
          <w:tab w:val="left" w:pos="709"/>
        </w:tabs>
        <w:autoSpaceDE w:val="0"/>
        <w:autoSpaceDN w:val="0"/>
        <w:rPr>
          <w:rFonts w:eastAsia="Times New Roman"/>
          <w:sz w:val="24"/>
          <w:szCs w:val="24"/>
          <w:lang w:val="en-US" w:eastAsia="en-GB"/>
        </w:rPr>
      </w:pPr>
    </w:p>
    <w:p w:rsidR="005C240C" w:rsidP="00DD73A0" w:rsidRDefault="005C240C" w14:paraId="3E7D5B3D" w14:textId="77777777">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 xml:space="preserve">Requests for information will be responded to within 20 working days, however: </w:t>
      </w:r>
    </w:p>
    <w:p w:rsidR="005C240C" w:rsidP="00DD73A0" w:rsidRDefault="005C240C" w14:paraId="33F571BB" w14:textId="77777777">
      <w:pPr>
        <w:tabs>
          <w:tab w:val="left" w:pos="709"/>
        </w:tabs>
        <w:autoSpaceDE w:val="0"/>
        <w:autoSpaceDN w:val="0"/>
        <w:rPr>
          <w:rFonts w:eastAsia="Times New Roman"/>
          <w:sz w:val="24"/>
          <w:szCs w:val="24"/>
          <w:lang w:val="en-US" w:eastAsia="en-GB"/>
        </w:rPr>
      </w:pPr>
    </w:p>
    <w:p w:rsidR="005C240C" w:rsidP="005C240C" w:rsidRDefault="005C240C" w14:paraId="26A0D1F2" w14:textId="77777777">
      <w:pPr>
        <w:pStyle w:val="ListParagraph"/>
        <w:numPr>
          <w:ilvl w:val="0"/>
          <w:numId w:val="47"/>
        </w:numPr>
        <w:tabs>
          <w:tab w:val="left" w:pos="709"/>
        </w:tabs>
        <w:autoSpaceDE w:val="0"/>
        <w:autoSpaceDN w:val="0"/>
        <w:rPr>
          <w:rFonts w:eastAsia="Times New Roman"/>
          <w:sz w:val="24"/>
          <w:szCs w:val="24"/>
          <w:lang w:val="en-US" w:eastAsia="en-GB"/>
        </w:rPr>
      </w:pPr>
      <w:r w:rsidRPr="005C240C">
        <w:rPr>
          <w:rFonts w:eastAsia="Times New Roman"/>
          <w:sz w:val="24"/>
          <w:szCs w:val="24"/>
          <w:lang w:val="en-US" w:eastAsia="en-GB"/>
        </w:rPr>
        <w:t>This timeframe is reset if a request for clarification is made,</w:t>
      </w:r>
    </w:p>
    <w:p w:rsidR="005C240C" w:rsidP="005C240C" w:rsidRDefault="005C240C" w14:paraId="210845DF" w14:textId="6E0A26E9">
      <w:pPr>
        <w:pStyle w:val="ListParagraph"/>
        <w:numPr>
          <w:ilvl w:val="0"/>
          <w:numId w:val="47"/>
        </w:numPr>
        <w:tabs>
          <w:tab w:val="left" w:pos="709"/>
        </w:tabs>
        <w:autoSpaceDE w:val="0"/>
        <w:autoSpaceDN w:val="0"/>
        <w:rPr>
          <w:rFonts w:eastAsia="Times New Roman"/>
          <w:sz w:val="24"/>
          <w:szCs w:val="24"/>
          <w:lang w:val="en-US" w:eastAsia="en-GB"/>
        </w:rPr>
      </w:pPr>
      <w:r>
        <w:rPr>
          <w:rFonts w:eastAsia="Times New Roman"/>
          <w:sz w:val="24"/>
          <w:szCs w:val="24"/>
          <w:lang w:val="en-US" w:eastAsia="en-GB"/>
        </w:rPr>
        <w:t>If a fee to supply the information is required the response time can be extended up to 3 months once the fee notice is issued,</w:t>
      </w:r>
    </w:p>
    <w:p w:rsidRPr="005C240C" w:rsidR="005C240C" w:rsidP="005C240C" w:rsidRDefault="005C240C" w14:paraId="7F2BAA0B" w14:textId="19075389">
      <w:pPr>
        <w:pStyle w:val="ListParagraph"/>
        <w:numPr>
          <w:ilvl w:val="0"/>
          <w:numId w:val="47"/>
        </w:numPr>
        <w:tabs>
          <w:tab w:val="left" w:pos="709"/>
        </w:tabs>
        <w:autoSpaceDE w:val="0"/>
        <w:autoSpaceDN w:val="0"/>
        <w:rPr>
          <w:rFonts w:eastAsia="Times New Roman"/>
          <w:sz w:val="24"/>
          <w:szCs w:val="24"/>
          <w:lang w:val="en-US" w:eastAsia="en-GB"/>
        </w:rPr>
      </w:pPr>
      <w:r>
        <w:rPr>
          <w:rFonts w:eastAsia="Times New Roman"/>
          <w:sz w:val="24"/>
          <w:szCs w:val="24"/>
          <w:lang w:val="en-US" w:eastAsia="en-GB"/>
        </w:rPr>
        <w:t xml:space="preserve">If the public interest test is applied an extra 20 days can be taken.  </w:t>
      </w:r>
      <w:r w:rsidRPr="005C240C">
        <w:rPr>
          <w:rFonts w:eastAsia="Times New Roman"/>
          <w:sz w:val="24"/>
          <w:szCs w:val="24"/>
          <w:lang w:val="en-US" w:eastAsia="en-GB"/>
        </w:rPr>
        <w:t xml:space="preserve"> </w:t>
      </w:r>
    </w:p>
    <w:p w:rsidR="005C240C" w:rsidP="00DD73A0" w:rsidRDefault="005C240C" w14:paraId="76B3B9EF" w14:textId="77777777">
      <w:pPr>
        <w:tabs>
          <w:tab w:val="left" w:pos="709"/>
        </w:tabs>
        <w:autoSpaceDE w:val="0"/>
        <w:autoSpaceDN w:val="0"/>
        <w:rPr>
          <w:rFonts w:eastAsia="Times New Roman"/>
          <w:sz w:val="24"/>
          <w:szCs w:val="24"/>
          <w:lang w:val="en-US" w:eastAsia="en-GB"/>
        </w:rPr>
      </w:pPr>
    </w:p>
    <w:p w:rsidRPr="00F04571" w:rsidR="00DD73A0" w:rsidP="00E62A8D" w:rsidRDefault="00F04571" w14:paraId="59682F28" w14:textId="40C66751">
      <w:pPr>
        <w:pStyle w:val="Heading1"/>
        <w:numPr>
          <w:ilvl w:val="0"/>
          <w:numId w:val="49"/>
        </w:numPr>
      </w:pPr>
      <w:bookmarkStart w:name="_Toc115692123" w:id="11"/>
      <w:r w:rsidRPr="00F04571">
        <w:t>Fees</w:t>
      </w:r>
      <w:bookmarkEnd w:id="11"/>
      <w:r w:rsidRPr="00F04571">
        <w:t xml:space="preserve"> </w:t>
      </w:r>
    </w:p>
    <w:p w:rsidRPr="0020438E" w:rsidR="00077B9D" w:rsidP="0020438E" w:rsidRDefault="00077B9D" w14:paraId="48D0BFA6" w14:textId="77777777">
      <w:pPr>
        <w:tabs>
          <w:tab w:val="left" w:pos="709"/>
        </w:tabs>
        <w:autoSpaceDE w:val="0"/>
        <w:autoSpaceDN w:val="0"/>
        <w:rPr>
          <w:rFonts w:eastAsia="Times New Roman"/>
          <w:sz w:val="24"/>
          <w:szCs w:val="24"/>
          <w:lang w:val="en-US" w:eastAsia="en-GB"/>
        </w:rPr>
      </w:pPr>
    </w:p>
    <w:p w:rsidRPr="0020438E" w:rsidR="00077B9D" w:rsidP="0020438E" w:rsidRDefault="00F04571" w14:paraId="1CB7661A" w14:textId="359084C5">
      <w:pPr>
        <w:tabs>
          <w:tab w:val="left" w:pos="709"/>
        </w:tabs>
        <w:autoSpaceDE w:val="0"/>
        <w:autoSpaceDN w:val="0"/>
        <w:rPr>
          <w:rFonts w:eastAsia="Times New Roman"/>
          <w:sz w:val="24"/>
          <w:szCs w:val="24"/>
          <w:lang w:val="en-US" w:eastAsia="en-GB"/>
        </w:rPr>
      </w:pPr>
      <w:r w:rsidRPr="0020438E">
        <w:rPr>
          <w:rFonts w:eastAsia="Times New Roman"/>
          <w:sz w:val="24"/>
          <w:szCs w:val="24"/>
          <w:lang w:val="en-US" w:eastAsia="en-GB"/>
        </w:rPr>
        <w:t xml:space="preserve">SGUL will not charge for information made available via the publication scheme.  Fees may be charged by SGUL for information not held I the publication scheme.  Any fees charged will be </w:t>
      </w:r>
      <w:r w:rsidRPr="0020438E" w:rsidR="0020438E">
        <w:rPr>
          <w:rFonts w:eastAsia="Times New Roman"/>
          <w:sz w:val="24"/>
          <w:szCs w:val="24"/>
          <w:lang w:val="en-US" w:eastAsia="en-GB"/>
        </w:rPr>
        <w:t xml:space="preserve">in accordance with the Freedom of Information and Data Protection (Appropriate Limit and Fees) Regulations 2004 and Charging for Environmental Information (Regulation 8).  </w:t>
      </w:r>
    </w:p>
    <w:p w:rsidRPr="0020438E" w:rsidR="00322D02" w:rsidP="0020438E" w:rsidRDefault="00322D02" w14:paraId="6987EBED" w14:textId="77777777">
      <w:pPr>
        <w:tabs>
          <w:tab w:val="left" w:pos="709"/>
        </w:tabs>
        <w:autoSpaceDE w:val="0"/>
        <w:autoSpaceDN w:val="0"/>
        <w:rPr>
          <w:rFonts w:eastAsia="Times New Roman"/>
          <w:sz w:val="24"/>
          <w:szCs w:val="24"/>
          <w:lang w:val="en-US" w:eastAsia="en-GB"/>
        </w:rPr>
      </w:pPr>
    </w:p>
    <w:p w:rsidRPr="0020438E" w:rsidR="00322D02" w:rsidP="00E62A8D" w:rsidRDefault="0020438E" w14:paraId="51C684E0" w14:textId="29B55DD9">
      <w:pPr>
        <w:pStyle w:val="Heading1"/>
        <w:numPr>
          <w:ilvl w:val="0"/>
          <w:numId w:val="49"/>
        </w:numPr>
      </w:pPr>
      <w:bookmarkStart w:name="_Toc115692124" w:id="12"/>
      <w:r w:rsidRPr="0020438E">
        <w:t>Exemptions</w:t>
      </w:r>
      <w:bookmarkEnd w:id="12"/>
      <w:r w:rsidRPr="0020438E">
        <w:t xml:space="preserve"> </w:t>
      </w:r>
    </w:p>
    <w:p w:rsidRPr="0020438E" w:rsidR="0020438E" w:rsidP="0020438E" w:rsidRDefault="0020438E" w14:paraId="2DDE1B62" w14:textId="706300B4">
      <w:pPr>
        <w:tabs>
          <w:tab w:val="left" w:pos="709"/>
        </w:tabs>
        <w:autoSpaceDE w:val="0"/>
        <w:autoSpaceDN w:val="0"/>
        <w:rPr>
          <w:rFonts w:eastAsia="Times New Roman"/>
          <w:sz w:val="24"/>
          <w:szCs w:val="24"/>
          <w:lang w:val="en-US" w:eastAsia="en-GB"/>
        </w:rPr>
      </w:pPr>
    </w:p>
    <w:p w:rsidR="0020438E" w:rsidP="0020438E" w:rsidRDefault="0020438E" w14:paraId="211EED9B" w14:textId="760D1E12">
      <w:pPr>
        <w:tabs>
          <w:tab w:val="left" w:pos="709"/>
        </w:tabs>
        <w:autoSpaceDE w:val="0"/>
        <w:autoSpaceDN w:val="0"/>
        <w:rPr>
          <w:rFonts w:eastAsia="Times New Roman"/>
          <w:sz w:val="24"/>
          <w:szCs w:val="24"/>
          <w:lang w:val="en-US" w:eastAsia="en-GB"/>
        </w:rPr>
      </w:pPr>
      <w:r w:rsidRPr="0020438E">
        <w:rPr>
          <w:rFonts w:eastAsia="Times New Roman"/>
          <w:sz w:val="24"/>
          <w:szCs w:val="24"/>
          <w:lang w:val="en-US" w:eastAsia="en-GB"/>
        </w:rPr>
        <w:t xml:space="preserve">Under the FOIA there are 23 exemptions and under the EIR 13 which SGUL can </w:t>
      </w:r>
      <w:r w:rsidR="00074EBE">
        <w:rPr>
          <w:rFonts w:eastAsia="Times New Roman"/>
          <w:sz w:val="24"/>
          <w:szCs w:val="24"/>
          <w:lang w:val="en-US" w:eastAsia="en-GB"/>
        </w:rPr>
        <w:t xml:space="preserve">use to </w:t>
      </w:r>
      <w:r w:rsidRPr="0020438E">
        <w:rPr>
          <w:rFonts w:eastAsia="Times New Roman"/>
          <w:sz w:val="24"/>
          <w:szCs w:val="24"/>
          <w:lang w:val="en-US" w:eastAsia="en-GB"/>
        </w:rPr>
        <w:t xml:space="preserve">decline to release information.  </w:t>
      </w:r>
      <w:r>
        <w:rPr>
          <w:rFonts w:eastAsia="Times New Roman"/>
          <w:sz w:val="24"/>
          <w:szCs w:val="24"/>
          <w:lang w:val="en-US" w:eastAsia="en-GB"/>
        </w:rPr>
        <w:t xml:space="preserve">Of the exemptions some are absolute exemptions, and some are qualified exemptions that require SGUL to apply the public interest test.  </w:t>
      </w:r>
    </w:p>
    <w:p w:rsidR="0020438E" w:rsidP="0020438E" w:rsidRDefault="0020438E" w14:paraId="7475D712" w14:textId="5B612755">
      <w:pPr>
        <w:tabs>
          <w:tab w:val="left" w:pos="709"/>
        </w:tabs>
        <w:autoSpaceDE w:val="0"/>
        <w:autoSpaceDN w:val="0"/>
        <w:rPr>
          <w:rFonts w:eastAsia="Times New Roman"/>
          <w:sz w:val="24"/>
          <w:szCs w:val="24"/>
          <w:lang w:val="en-US" w:eastAsia="en-GB"/>
        </w:rPr>
      </w:pPr>
    </w:p>
    <w:p w:rsidR="004B59B4" w:rsidP="0020438E" w:rsidRDefault="0020438E" w14:paraId="18B53051" w14:textId="77777777">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When considering whether to apply a</w:t>
      </w:r>
      <w:r w:rsidR="00D20FB3">
        <w:rPr>
          <w:rFonts w:eastAsia="Times New Roman"/>
          <w:sz w:val="24"/>
          <w:szCs w:val="24"/>
          <w:lang w:val="en-US" w:eastAsia="en-GB"/>
        </w:rPr>
        <w:t xml:space="preserve"> qualified</w:t>
      </w:r>
      <w:r>
        <w:rPr>
          <w:rFonts w:eastAsia="Times New Roman"/>
          <w:sz w:val="24"/>
          <w:szCs w:val="24"/>
          <w:lang w:val="en-US" w:eastAsia="en-GB"/>
        </w:rPr>
        <w:t xml:space="preserve"> exemption SGUL will carry out the public interest test before </w:t>
      </w:r>
      <w:r w:rsidR="00D20FB3">
        <w:rPr>
          <w:rFonts w:eastAsia="Times New Roman"/>
          <w:sz w:val="24"/>
          <w:szCs w:val="24"/>
          <w:lang w:val="en-US" w:eastAsia="en-GB"/>
        </w:rPr>
        <w:t>deciding</w:t>
      </w:r>
      <w:r>
        <w:rPr>
          <w:rFonts w:eastAsia="Times New Roman"/>
          <w:sz w:val="24"/>
          <w:szCs w:val="24"/>
          <w:lang w:val="en-US" w:eastAsia="en-GB"/>
        </w:rPr>
        <w:t xml:space="preserve"> as to whether or not the information will be withheld.</w:t>
      </w:r>
      <w:r w:rsidR="00D20FB3">
        <w:rPr>
          <w:rFonts w:eastAsia="Times New Roman"/>
          <w:sz w:val="24"/>
          <w:szCs w:val="24"/>
          <w:lang w:val="en-US" w:eastAsia="en-GB"/>
        </w:rPr>
        <w:t xml:space="preserve">  Should an exemption be applied SGUL will provide the requestor with information on why the exemption was applied, supply details of how the requestor can complain if they are unhappy with the outcome, and will offer advice and assistance on how the request could be refined.  </w:t>
      </w:r>
    </w:p>
    <w:p w:rsidR="004B59B4" w:rsidP="0020438E" w:rsidRDefault="004B59B4" w14:paraId="20ED7816" w14:textId="77777777">
      <w:pPr>
        <w:tabs>
          <w:tab w:val="left" w:pos="709"/>
        </w:tabs>
        <w:autoSpaceDE w:val="0"/>
        <w:autoSpaceDN w:val="0"/>
        <w:rPr>
          <w:rFonts w:eastAsia="Times New Roman"/>
          <w:sz w:val="24"/>
          <w:szCs w:val="24"/>
          <w:lang w:val="en-US" w:eastAsia="en-GB"/>
        </w:rPr>
      </w:pPr>
    </w:p>
    <w:p w:rsidR="0020438E" w:rsidP="0020438E" w:rsidRDefault="00D20FB3" w14:paraId="392EBF2C" w14:textId="47A41B4C">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Should the FOI Lead wish to apply a</w:t>
      </w:r>
      <w:r w:rsidR="004B59B4">
        <w:rPr>
          <w:rFonts w:eastAsia="Times New Roman"/>
          <w:sz w:val="24"/>
          <w:szCs w:val="24"/>
          <w:lang w:val="en-US" w:eastAsia="en-GB"/>
        </w:rPr>
        <w:t>n</w:t>
      </w:r>
      <w:r>
        <w:rPr>
          <w:rFonts w:eastAsia="Times New Roman"/>
          <w:sz w:val="24"/>
          <w:szCs w:val="24"/>
          <w:lang w:val="en-US" w:eastAsia="en-GB"/>
        </w:rPr>
        <w:t xml:space="preserve"> exemption they should contact either the Senior Governance Officer (Risk Management) or the Records Manager.  </w:t>
      </w:r>
    </w:p>
    <w:p w:rsidR="00D20FB3" w:rsidP="0020438E" w:rsidRDefault="00D20FB3" w14:paraId="2D4981DC" w14:textId="78078E77">
      <w:pPr>
        <w:tabs>
          <w:tab w:val="left" w:pos="709"/>
        </w:tabs>
        <w:autoSpaceDE w:val="0"/>
        <w:autoSpaceDN w:val="0"/>
        <w:rPr>
          <w:rFonts w:eastAsia="Times New Roman"/>
          <w:sz w:val="24"/>
          <w:szCs w:val="24"/>
          <w:lang w:val="en-US" w:eastAsia="en-GB"/>
        </w:rPr>
      </w:pPr>
    </w:p>
    <w:p w:rsidRPr="00E62A8D" w:rsidR="00D20FB3" w:rsidP="00E62A8D" w:rsidRDefault="00D20FB3" w14:paraId="54F15840" w14:textId="0D7846BB">
      <w:pPr>
        <w:pStyle w:val="Heading1"/>
        <w:numPr>
          <w:ilvl w:val="0"/>
          <w:numId w:val="49"/>
        </w:numPr>
        <w:rPr>
          <w:lang w:val="en-US" w:eastAsia="en-GB"/>
        </w:rPr>
      </w:pPr>
      <w:bookmarkStart w:name="_Toc115692125" w:id="13"/>
      <w:r w:rsidRPr="00E62A8D">
        <w:rPr>
          <w:lang w:val="en-US" w:eastAsia="en-GB"/>
        </w:rPr>
        <w:t>Appeals and reviews</w:t>
      </w:r>
      <w:bookmarkEnd w:id="13"/>
      <w:r w:rsidRPr="00E62A8D">
        <w:rPr>
          <w:lang w:val="en-US" w:eastAsia="en-GB"/>
        </w:rPr>
        <w:t xml:space="preserve"> </w:t>
      </w:r>
    </w:p>
    <w:p w:rsidR="00D20FB3" w:rsidP="0020438E" w:rsidRDefault="00D20FB3" w14:paraId="5A3E21B7" w14:textId="1CA042A6">
      <w:pPr>
        <w:tabs>
          <w:tab w:val="left" w:pos="709"/>
        </w:tabs>
        <w:autoSpaceDE w:val="0"/>
        <w:autoSpaceDN w:val="0"/>
        <w:rPr>
          <w:rFonts w:eastAsia="Times New Roman"/>
          <w:sz w:val="24"/>
          <w:szCs w:val="24"/>
          <w:lang w:val="en-US" w:eastAsia="en-GB"/>
        </w:rPr>
      </w:pPr>
    </w:p>
    <w:p w:rsidR="00D20FB3" w:rsidP="0020438E" w:rsidRDefault="00605AF2" w14:paraId="4B2993A0" w14:textId="0AAF1A8D">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 xml:space="preserve">If a requestor is unhappy with SGULs response to their request they can appeal.  In the first instance they should contact SGUL – contact information is on the SGUL website.  </w:t>
      </w:r>
    </w:p>
    <w:p w:rsidR="00605AF2" w:rsidP="0020438E" w:rsidRDefault="00605AF2" w14:paraId="7A9A5A07" w14:textId="0E7CB156">
      <w:pPr>
        <w:tabs>
          <w:tab w:val="left" w:pos="709"/>
        </w:tabs>
        <w:autoSpaceDE w:val="0"/>
        <w:autoSpaceDN w:val="0"/>
        <w:rPr>
          <w:rFonts w:eastAsia="Times New Roman"/>
          <w:sz w:val="24"/>
          <w:szCs w:val="24"/>
          <w:lang w:val="en-US" w:eastAsia="en-GB"/>
        </w:rPr>
      </w:pPr>
    </w:p>
    <w:p w:rsidR="00605AF2" w:rsidP="0020438E" w:rsidRDefault="00605AF2" w14:paraId="60ABEE35" w14:textId="12D03D2F">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 xml:space="preserve">Should a requestor appeal the Senior Governance Officer or Records Manager will provide the Head of Information Governance with the information required to review the actions taken to respond to the request.  </w:t>
      </w:r>
    </w:p>
    <w:p w:rsidR="00CC7688" w:rsidP="0020438E" w:rsidRDefault="00CC7688" w14:paraId="59C7E440" w14:textId="648C6395">
      <w:pPr>
        <w:tabs>
          <w:tab w:val="left" w:pos="709"/>
        </w:tabs>
        <w:autoSpaceDE w:val="0"/>
        <w:autoSpaceDN w:val="0"/>
        <w:rPr>
          <w:rFonts w:eastAsia="Times New Roman"/>
          <w:sz w:val="24"/>
          <w:szCs w:val="24"/>
          <w:lang w:val="en-US" w:eastAsia="en-GB"/>
        </w:rPr>
      </w:pPr>
    </w:p>
    <w:p w:rsidRPr="0020438E" w:rsidR="00CC7688" w:rsidP="0020438E" w:rsidRDefault="00CC7688" w14:paraId="78D54063" w14:textId="3F1FCCD9">
      <w:pPr>
        <w:tabs>
          <w:tab w:val="left" w:pos="709"/>
        </w:tabs>
        <w:autoSpaceDE w:val="0"/>
        <w:autoSpaceDN w:val="0"/>
        <w:rPr>
          <w:rFonts w:eastAsia="Times New Roman"/>
          <w:sz w:val="24"/>
          <w:szCs w:val="24"/>
          <w:lang w:val="en-US" w:eastAsia="en-GB"/>
        </w:rPr>
      </w:pPr>
      <w:r>
        <w:rPr>
          <w:rFonts w:eastAsia="Times New Roman"/>
          <w:sz w:val="24"/>
          <w:szCs w:val="24"/>
          <w:lang w:val="en-US" w:eastAsia="en-GB"/>
        </w:rPr>
        <w:t xml:space="preserve">If the requestor is unhappy with the result of the appeal they can then escalate their concerns to the Information Commissioners Office.  </w:t>
      </w:r>
    </w:p>
    <w:p w:rsidRPr="0020438E" w:rsidR="00B476E8" w:rsidP="0020438E" w:rsidRDefault="00B476E8" w14:paraId="47E46EB9" w14:textId="77777777">
      <w:pPr>
        <w:tabs>
          <w:tab w:val="left" w:pos="709"/>
        </w:tabs>
        <w:autoSpaceDE w:val="0"/>
        <w:autoSpaceDN w:val="0"/>
        <w:rPr>
          <w:rFonts w:eastAsia="Times New Roman"/>
          <w:sz w:val="24"/>
          <w:szCs w:val="24"/>
          <w:lang w:val="en-US" w:eastAsia="en-GB"/>
        </w:rPr>
      </w:pPr>
    </w:p>
    <w:p w:rsidRPr="00E62A8D" w:rsidR="00322D02" w:rsidP="00E62A8D" w:rsidRDefault="00CC7688" w14:paraId="477745CB" w14:textId="4080F863">
      <w:pPr>
        <w:pStyle w:val="Heading1"/>
        <w:numPr>
          <w:ilvl w:val="0"/>
          <w:numId w:val="49"/>
        </w:numPr>
        <w:rPr>
          <w:lang w:val="en-US" w:eastAsia="en-GB"/>
        </w:rPr>
      </w:pPr>
      <w:bookmarkStart w:name="Other" w:id="14"/>
      <w:bookmarkStart w:name="_Toc115692126" w:id="15"/>
      <w:r w:rsidRPr="00E62A8D">
        <w:rPr>
          <w:lang w:val="en-US" w:eastAsia="en-GB"/>
        </w:rPr>
        <w:t>O</w:t>
      </w:r>
      <w:r w:rsidRPr="00E62A8D" w:rsidR="00322D02">
        <w:rPr>
          <w:lang w:val="en-US" w:eastAsia="en-GB"/>
        </w:rPr>
        <w:t xml:space="preserve">ther </w:t>
      </w:r>
      <w:bookmarkEnd w:id="14"/>
      <w:r w:rsidRPr="00E62A8D" w:rsidR="00322D02">
        <w:rPr>
          <w:lang w:val="en-US" w:eastAsia="en-GB"/>
        </w:rPr>
        <w:t>relevant documents</w:t>
      </w:r>
      <w:bookmarkEnd w:id="15"/>
      <w:r w:rsidRPr="00E62A8D" w:rsidR="00EB284C">
        <w:rPr>
          <w:lang w:val="en-US" w:eastAsia="en-GB"/>
        </w:rPr>
        <w:t xml:space="preserve"> </w:t>
      </w:r>
    </w:p>
    <w:p w:rsidR="00322D02" w:rsidP="00EB284C" w:rsidRDefault="00322D02" w14:paraId="45BD46A0" w14:textId="77777777">
      <w:pPr>
        <w:rPr>
          <w:rFonts w:eastAsia="Times New Roman"/>
          <w:lang w:val="en-US" w:eastAsia="en-GB"/>
        </w:rPr>
      </w:pPr>
    </w:p>
    <w:p w:rsidRPr="00CC7688" w:rsidR="008E3140" w:rsidP="00764E6B" w:rsidRDefault="008E3140" w14:paraId="094B45B7" w14:textId="57B2D099">
      <w:pPr>
        <w:numPr>
          <w:ilvl w:val="0"/>
          <w:numId w:val="37"/>
        </w:numPr>
        <w:ind w:left="1080"/>
        <w:rPr>
          <w:rFonts w:eastAsia="Times New Roman"/>
          <w:sz w:val="24"/>
          <w:szCs w:val="24"/>
          <w:lang w:val="en-US" w:eastAsia="en-GB"/>
        </w:rPr>
      </w:pPr>
      <w:r w:rsidRPr="00CC7688">
        <w:rPr>
          <w:rFonts w:eastAsia="Times New Roman"/>
          <w:sz w:val="24"/>
          <w:szCs w:val="24"/>
          <w:lang w:val="en-US" w:eastAsia="en-GB"/>
        </w:rPr>
        <w:t>Data Protection Policy</w:t>
      </w:r>
    </w:p>
    <w:p w:rsidRPr="00CC7688" w:rsidR="00322D02" w:rsidP="00764E6B" w:rsidRDefault="00322D02" w14:paraId="27BE2BF0" w14:textId="71A94671">
      <w:pPr>
        <w:numPr>
          <w:ilvl w:val="0"/>
          <w:numId w:val="37"/>
        </w:numPr>
        <w:ind w:left="1080"/>
        <w:rPr>
          <w:rFonts w:eastAsia="Times New Roman"/>
          <w:sz w:val="24"/>
          <w:szCs w:val="24"/>
          <w:lang w:val="en-US" w:eastAsia="en-GB"/>
        </w:rPr>
      </w:pPr>
      <w:r w:rsidRPr="00CC7688">
        <w:rPr>
          <w:rFonts w:eastAsia="Times New Roman"/>
          <w:sz w:val="24"/>
          <w:szCs w:val="24"/>
          <w:lang w:val="en-US" w:eastAsia="en-GB"/>
        </w:rPr>
        <w:t>Publication Scheme</w:t>
      </w:r>
    </w:p>
    <w:p w:rsidRPr="00CC7688" w:rsidR="00EB284C" w:rsidP="00764E6B" w:rsidRDefault="00B476E8" w14:paraId="45A86157" w14:textId="018E90A6">
      <w:pPr>
        <w:numPr>
          <w:ilvl w:val="0"/>
          <w:numId w:val="37"/>
        </w:numPr>
        <w:ind w:left="1080"/>
        <w:rPr>
          <w:rFonts w:eastAsia="Times New Roman"/>
          <w:sz w:val="24"/>
          <w:szCs w:val="24"/>
          <w:lang w:val="en-US" w:eastAsia="en-GB"/>
        </w:rPr>
      </w:pPr>
      <w:r w:rsidRPr="00CC7688">
        <w:rPr>
          <w:rFonts w:eastAsia="Times New Roman"/>
          <w:sz w:val="24"/>
          <w:szCs w:val="24"/>
          <w:lang w:val="en-US" w:eastAsia="en-GB"/>
        </w:rPr>
        <w:t>Freedom of Information</w:t>
      </w:r>
      <w:r w:rsidRPr="00CC7688" w:rsidR="00EB284C">
        <w:rPr>
          <w:rFonts w:eastAsia="Times New Roman"/>
          <w:sz w:val="24"/>
          <w:szCs w:val="24"/>
          <w:lang w:val="en-US" w:eastAsia="en-GB"/>
        </w:rPr>
        <w:t xml:space="preserve"> </w:t>
      </w:r>
      <w:r w:rsidRPr="00CC7688">
        <w:rPr>
          <w:rFonts w:eastAsia="Times New Roman"/>
          <w:sz w:val="24"/>
          <w:szCs w:val="24"/>
          <w:lang w:val="en-US" w:eastAsia="en-GB"/>
        </w:rPr>
        <w:t xml:space="preserve">(FOI) </w:t>
      </w:r>
      <w:r w:rsidRPr="00CC7688" w:rsidR="007979B5">
        <w:rPr>
          <w:rFonts w:eastAsia="Times New Roman"/>
          <w:sz w:val="24"/>
          <w:szCs w:val="24"/>
          <w:lang w:val="en-US" w:eastAsia="en-GB"/>
        </w:rPr>
        <w:t xml:space="preserve">Complaints and </w:t>
      </w:r>
      <w:r w:rsidRPr="00CC7688" w:rsidR="00EB284C">
        <w:rPr>
          <w:rFonts w:eastAsia="Times New Roman"/>
          <w:sz w:val="24"/>
          <w:szCs w:val="24"/>
          <w:lang w:val="en-US" w:eastAsia="en-GB"/>
        </w:rPr>
        <w:t>Appeals Procedure</w:t>
      </w:r>
    </w:p>
    <w:p w:rsidRPr="00CC7688" w:rsidR="00EB284C" w:rsidP="00EB284C" w:rsidRDefault="00B476E8" w14:paraId="67AB2790" w14:textId="18127326">
      <w:pPr>
        <w:numPr>
          <w:ilvl w:val="0"/>
          <w:numId w:val="37"/>
        </w:numPr>
        <w:ind w:left="1080"/>
        <w:rPr>
          <w:rFonts w:eastAsia="Times New Roman"/>
          <w:sz w:val="24"/>
          <w:szCs w:val="24"/>
          <w:lang w:val="en-US" w:eastAsia="en-GB"/>
        </w:rPr>
      </w:pPr>
      <w:r w:rsidRPr="00CC7688">
        <w:rPr>
          <w:rFonts w:eastAsia="Times New Roman"/>
          <w:sz w:val="24"/>
          <w:szCs w:val="24"/>
          <w:lang w:val="en-US" w:eastAsia="en-GB"/>
        </w:rPr>
        <w:t xml:space="preserve">FOI </w:t>
      </w:r>
      <w:r w:rsidRPr="00CC7688" w:rsidR="00322D02">
        <w:rPr>
          <w:rFonts w:eastAsia="Times New Roman"/>
          <w:sz w:val="24"/>
          <w:szCs w:val="24"/>
          <w:lang w:val="en-US" w:eastAsia="en-GB"/>
        </w:rPr>
        <w:t>Process for Dealing with requests for Information</w:t>
      </w:r>
    </w:p>
    <w:p w:rsidR="001E22E1" w:rsidP="00F05C36" w:rsidRDefault="004C7410" w14:paraId="436D0680" w14:textId="12C1163F">
      <w:pPr>
        <w:numPr>
          <w:ilvl w:val="0"/>
          <w:numId w:val="37"/>
        </w:numPr>
        <w:ind w:left="1080"/>
        <w:rPr>
          <w:rFonts w:eastAsia="Times New Roman"/>
          <w:sz w:val="24"/>
          <w:szCs w:val="24"/>
          <w:lang w:val="en-US" w:eastAsia="en-GB"/>
        </w:rPr>
      </w:pPr>
      <w:r w:rsidRPr="00CC7688">
        <w:rPr>
          <w:rFonts w:eastAsia="Times New Roman"/>
          <w:sz w:val="24"/>
          <w:szCs w:val="24"/>
          <w:lang w:val="en-US" w:eastAsia="en-GB"/>
        </w:rPr>
        <w:t xml:space="preserve">Records Management Policy </w:t>
      </w:r>
    </w:p>
    <w:p w:rsidR="001E22E1" w:rsidRDefault="001E22E1" w14:paraId="147F38C5" w14:textId="77777777">
      <w:pPr>
        <w:rPr>
          <w:rFonts w:eastAsia="Times New Roman"/>
          <w:sz w:val="24"/>
          <w:szCs w:val="24"/>
          <w:lang w:val="en-US" w:eastAsia="en-GB"/>
        </w:rPr>
      </w:pPr>
      <w:r>
        <w:rPr>
          <w:rFonts w:eastAsia="Times New Roman"/>
          <w:sz w:val="24"/>
          <w:szCs w:val="24"/>
          <w:lang w:val="en-US" w:eastAsia="en-GB"/>
        </w:rPr>
        <w:br w:type="page"/>
      </w:r>
    </w:p>
    <w:p w:rsidRPr="0044032F" w:rsidR="001E22E1" w:rsidP="001E22E1" w:rsidRDefault="001E22E1" w14:paraId="6FB194C9" w14:textId="77777777">
      <w:pPr>
        <w:pStyle w:val="Heading1"/>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A0" w:firstRow="1" w:lastRow="0" w:firstColumn="1" w:lastColumn="0" w:noHBand="0" w:noVBand="1"/>
      </w:tblPr>
      <w:tblGrid>
        <w:gridCol w:w="3227"/>
        <w:gridCol w:w="6015"/>
      </w:tblGrid>
      <w:tr w:rsidR="001E22E1" w:rsidTr="00125712" w14:paraId="184A3C0C" w14:textId="77777777">
        <w:tc>
          <w:tcPr>
            <w:tcW w:w="9242" w:type="dxa"/>
            <w:gridSpan w:val="2"/>
            <w:tcBorders>
              <w:top w:val="single" w:color="CAC2B8" w:sz="8" w:space="0"/>
              <w:left w:val="single" w:color="CAC2B8" w:sz="8" w:space="0"/>
              <w:bottom w:val="single" w:color="CAC2B8" w:sz="8" w:space="0"/>
              <w:right w:val="single" w:color="CAC2B8" w:sz="8" w:space="0"/>
              <w:tl2br w:val="nil"/>
              <w:tr2bl w:val="nil"/>
            </w:tcBorders>
            <w:shd w:val="clear" w:color="auto" w:fill="CAC2B8"/>
          </w:tcPr>
          <w:p w:rsidRPr="00E62A8D" w:rsidR="001E22E1" w:rsidP="00125712" w:rsidRDefault="001E22E1" w14:paraId="0AA5DE35" w14:textId="77777777">
            <w:pPr>
              <w:pStyle w:val="Title"/>
              <w:rPr>
                <w:sz w:val="24"/>
                <w:szCs w:val="24"/>
              </w:rPr>
            </w:pPr>
            <w:bookmarkStart w:name="_Toc293961168" w:id="16"/>
            <w:r w:rsidRPr="00E62A8D">
              <w:rPr>
                <w:sz w:val="24"/>
                <w:szCs w:val="24"/>
              </w:rPr>
              <w:t>Document Information</w:t>
            </w:r>
            <w:bookmarkEnd w:id="16"/>
          </w:p>
        </w:tc>
      </w:tr>
      <w:tr w:rsidR="001E22E1" w:rsidTr="00125712" w14:paraId="2FB66196" w14:textId="77777777">
        <w:tc>
          <w:tcPr>
            <w:tcW w:w="3227" w:type="dxa"/>
            <w:shd w:val="clear" w:color="auto" w:fill="auto"/>
          </w:tcPr>
          <w:p w:rsidRPr="0044032F" w:rsidR="001E22E1" w:rsidP="00125712" w:rsidRDefault="001E22E1" w14:paraId="72EE52F3" w14:textId="77777777">
            <w:pPr>
              <w:rPr>
                <w:rFonts w:eastAsia="Arial"/>
                <w:b/>
              </w:rPr>
            </w:pPr>
            <w:r w:rsidRPr="0044032F">
              <w:rPr>
                <w:rFonts w:eastAsia="Arial"/>
                <w:b/>
              </w:rPr>
              <w:t>Document Name</w:t>
            </w:r>
          </w:p>
        </w:tc>
        <w:tc>
          <w:tcPr>
            <w:tcW w:w="6015" w:type="dxa"/>
            <w:shd w:val="clear" w:color="auto" w:fill="auto"/>
          </w:tcPr>
          <w:p w:rsidRPr="0044032F" w:rsidR="001E22E1" w:rsidP="00125712" w:rsidRDefault="001E22E1" w14:paraId="3BF13621" w14:textId="5C0795AA">
            <w:pPr>
              <w:rPr>
                <w:rFonts w:eastAsia="Arial"/>
              </w:rPr>
            </w:pPr>
            <w:r>
              <w:rPr>
                <w:rFonts w:eastAsia="Arial"/>
              </w:rPr>
              <w:t>Freedom of Information Policy</w:t>
            </w:r>
            <w:r>
              <w:rPr>
                <w:rFonts w:eastAsia="Arial"/>
              </w:rPr>
              <w:t xml:space="preserve"> 2022</w:t>
            </w:r>
          </w:p>
        </w:tc>
      </w:tr>
      <w:tr w:rsidR="001E22E1" w:rsidTr="00125712" w14:paraId="065C7671" w14:textId="77777777">
        <w:tc>
          <w:tcPr>
            <w:tcW w:w="3227" w:type="dxa"/>
            <w:shd w:val="clear" w:color="auto" w:fill="auto"/>
          </w:tcPr>
          <w:p w:rsidRPr="0044032F" w:rsidR="001E22E1" w:rsidP="00125712" w:rsidRDefault="001E22E1" w14:paraId="02CA89EB" w14:textId="77777777">
            <w:pPr>
              <w:rPr>
                <w:rFonts w:eastAsia="Arial"/>
                <w:b/>
              </w:rPr>
            </w:pPr>
            <w:r w:rsidRPr="0044032F">
              <w:rPr>
                <w:rFonts w:eastAsia="Arial"/>
                <w:b/>
              </w:rPr>
              <w:t>Author</w:t>
            </w:r>
          </w:p>
        </w:tc>
        <w:tc>
          <w:tcPr>
            <w:tcW w:w="6015" w:type="dxa"/>
            <w:shd w:val="clear" w:color="auto" w:fill="auto"/>
          </w:tcPr>
          <w:p w:rsidRPr="0044032F" w:rsidR="001E22E1" w:rsidP="00125712" w:rsidRDefault="001E22E1" w14:paraId="2F19A85B" w14:textId="3D6BA457">
            <w:pPr>
              <w:rPr>
                <w:rFonts w:eastAsia="Arial"/>
              </w:rPr>
            </w:pPr>
            <w:r>
              <w:rPr>
                <w:rFonts w:eastAsia="Arial"/>
              </w:rPr>
              <w:t>Kirsten Hylan</w:t>
            </w:r>
          </w:p>
        </w:tc>
      </w:tr>
      <w:tr w:rsidR="001E22E1" w:rsidTr="00125712" w14:paraId="514A0964" w14:textId="77777777">
        <w:tc>
          <w:tcPr>
            <w:tcW w:w="3227" w:type="dxa"/>
            <w:shd w:val="clear" w:color="auto" w:fill="auto"/>
          </w:tcPr>
          <w:p w:rsidRPr="0044032F" w:rsidR="001E22E1" w:rsidP="00125712" w:rsidRDefault="001E22E1" w14:paraId="24388D31" w14:textId="77777777">
            <w:pPr>
              <w:rPr>
                <w:rFonts w:eastAsia="Arial"/>
                <w:b/>
              </w:rPr>
            </w:pPr>
            <w:r w:rsidRPr="0044032F">
              <w:rPr>
                <w:rFonts w:eastAsia="Arial"/>
                <w:b/>
              </w:rPr>
              <w:t>Issue Date</w:t>
            </w:r>
          </w:p>
        </w:tc>
        <w:tc>
          <w:tcPr>
            <w:tcW w:w="6015" w:type="dxa"/>
            <w:shd w:val="clear" w:color="auto" w:fill="auto"/>
          </w:tcPr>
          <w:p w:rsidRPr="0044032F" w:rsidR="001E22E1" w:rsidP="00125712" w:rsidRDefault="001E22E1" w14:paraId="288D56DC" w14:textId="529362E3">
            <w:pPr>
              <w:rPr>
                <w:rFonts w:eastAsia="Arial"/>
              </w:rPr>
            </w:pPr>
            <w:r>
              <w:rPr>
                <w:rFonts w:eastAsia="Arial"/>
              </w:rPr>
              <w:t>28/09/2022</w:t>
            </w:r>
          </w:p>
        </w:tc>
      </w:tr>
      <w:tr w:rsidR="001E22E1" w:rsidTr="00125712" w14:paraId="5252412C" w14:textId="77777777">
        <w:tc>
          <w:tcPr>
            <w:tcW w:w="3227" w:type="dxa"/>
            <w:shd w:val="clear" w:color="auto" w:fill="auto"/>
          </w:tcPr>
          <w:p w:rsidRPr="0044032F" w:rsidR="001E22E1" w:rsidP="00125712" w:rsidRDefault="001E22E1" w14:paraId="20572882" w14:textId="77777777">
            <w:pPr>
              <w:rPr>
                <w:rFonts w:eastAsia="Arial"/>
                <w:b/>
              </w:rPr>
            </w:pPr>
            <w:r>
              <w:rPr>
                <w:rFonts w:eastAsia="Arial"/>
                <w:b/>
              </w:rPr>
              <w:t>Approved By</w:t>
            </w:r>
          </w:p>
        </w:tc>
        <w:tc>
          <w:tcPr>
            <w:tcW w:w="6015" w:type="dxa"/>
            <w:shd w:val="clear" w:color="auto" w:fill="auto"/>
          </w:tcPr>
          <w:p w:rsidR="001E22E1" w:rsidP="00125712" w:rsidRDefault="001E22E1" w14:paraId="4AB9BB46" w14:textId="77777777">
            <w:pPr>
              <w:rPr>
                <w:rFonts w:eastAsia="Arial"/>
              </w:rPr>
            </w:pPr>
            <w:r>
              <w:rPr>
                <w:rFonts w:eastAsia="Arial"/>
              </w:rPr>
              <w:t>Information Governance Steering Group</w:t>
            </w:r>
          </w:p>
        </w:tc>
      </w:tr>
      <w:tr w:rsidR="001E22E1" w:rsidTr="00125712" w14:paraId="7F483528" w14:textId="77777777">
        <w:tc>
          <w:tcPr>
            <w:tcW w:w="3227" w:type="dxa"/>
            <w:shd w:val="clear" w:color="auto" w:fill="auto"/>
          </w:tcPr>
          <w:p w:rsidR="001E22E1" w:rsidP="00125712" w:rsidRDefault="001E22E1" w14:paraId="389B1F88" w14:textId="77777777">
            <w:pPr>
              <w:rPr>
                <w:rFonts w:eastAsia="Arial"/>
                <w:b/>
              </w:rPr>
            </w:pPr>
            <w:r>
              <w:rPr>
                <w:rFonts w:eastAsia="Arial"/>
                <w:b/>
              </w:rPr>
              <w:t>Next review</w:t>
            </w:r>
          </w:p>
        </w:tc>
        <w:tc>
          <w:tcPr>
            <w:tcW w:w="6015" w:type="dxa"/>
            <w:shd w:val="clear" w:color="auto" w:fill="auto"/>
          </w:tcPr>
          <w:p w:rsidR="001E22E1" w:rsidP="00125712" w:rsidRDefault="001E22E1" w14:paraId="3215897C" w14:textId="2ADDD62C">
            <w:pPr>
              <w:rPr>
                <w:rFonts w:eastAsia="Arial"/>
              </w:rPr>
            </w:pPr>
            <w:r>
              <w:rPr>
                <w:rFonts w:eastAsia="Arial"/>
              </w:rPr>
              <w:t>September 2023</w:t>
            </w:r>
          </w:p>
        </w:tc>
      </w:tr>
      <w:tr w:rsidR="001E22E1" w:rsidTr="00125712" w14:paraId="346033FE" w14:textId="77777777">
        <w:tc>
          <w:tcPr>
            <w:tcW w:w="3227" w:type="dxa"/>
            <w:shd w:val="clear" w:color="auto" w:fill="auto"/>
          </w:tcPr>
          <w:p w:rsidR="001E22E1" w:rsidP="00125712" w:rsidRDefault="001E22E1" w14:paraId="0148AD60" w14:textId="00C7E02B">
            <w:pPr>
              <w:rPr>
                <w:rFonts w:eastAsia="Arial"/>
                <w:b/>
              </w:rPr>
            </w:pPr>
            <w:r>
              <w:rPr>
                <w:rFonts w:eastAsia="Arial"/>
                <w:b/>
              </w:rPr>
              <w:t xml:space="preserve">Related policies </w:t>
            </w:r>
          </w:p>
        </w:tc>
        <w:tc>
          <w:tcPr>
            <w:tcW w:w="6015" w:type="dxa"/>
            <w:shd w:val="clear" w:color="auto" w:fill="auto"/>
          </w:tcPr>
          <w:p w:rsidR="001E22E1" w:rsidP="001E22E1" w:rsidRDefault="001E22E1" w14:paraId="398F3C8A" w14:textId="77777777">
            <w:pPr>
              <w:rPr>
                <w:rFonts w:eastAsia="Arial"/>
              </w:rPr>
            </w:pPr>
            <w:r>
              <w:rPr>
                <w:rFonts w:eastAsia="Arial"/>
              </w:rPr>
              <w:t xml:space="preserve">Retention &amp; Disposal Policy </w:t>
            </w:r>
          </w:p>
          <w:p w:rsidR="001E22E1" w:rsidP="001E22E1" w:rsidRDefault="001E22E1" w14:paraId="47124360" w14:textId="77777777">
            <w:pPr>
              <w:rPr>
                <w:rFonts w:eastAsia="Arial"/>
              </w:rPr>
            </w:pPr>
            <w:r>
              <w:rPr>
                <w:rFonts w:eastAsia="Arial"/>
              </w:rPr>
              <w:t xml:space="preserve">The SGUL Retention Schedules </w:t>
            </w:r>
          </w:p>
          <w:p w:rsidR="001E22E1" w:rsidP="001E22E1" w:rsidRDefault="001E22E1" w14:paraId="5C2FE48F" w14:textId="388C23DC">
            <w:pPr>
              <w:rPr>
                <w:rFonts w:eastAsia="Arial"/>
              </w:rPr>
            </w:pPr>
            <w:r>
              <w:rPr>
                <w:rFonts w:eastAsia="Arial"/>
              </w:rPr>
              <w:t xml:space="preserve">Records Management Policy </w:t>
            </w:r>
          </w:p>
        </w:tc>
      </w:tr>
    </w:tbl>
    <w:p w:rsidRPr="00E62A8D" w:rsidR="001E22E1" w:rsidP="001E22E1" w:rsidRDefault="001E22E1" w14:paraId="102C3AF1" w14:textId="77777777">
      <w:pPr>
        <w:rPr>
          <w:sz w:val="24"/>
          <w:szCs w:val="24"/>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20" w:firstRow="1" w:lastRow="0" w:firstColumn="0" w:lastColumn="0" w:noHBand="0" w:noVBand="1"/>
      </w:tblPr>
      <w:tblGrid>
        <w:gridCol w:w="1097"/>
        <w:gridCol w:w="2130"/>
        <w:gridCol w:w="6015"/>
      </w:tblGrid>
      <w:tr w:rsidRPr="00E62A8D" w:rsidR="001E22E1" w:rsidTr="00125712" w14:paraId="5B4CCA5A" w14:textId="77777777">
        <w:tc>
          <w:tcPr>
            <w:tcW w:w="9242" w:type="dxa"/>
            <w:gridSpan w:val="3"/>
            <w:tcBorders>
              <w:top w:val="single" w:color="CAC2B8" w:sz="8" w:space="0"/>
              <w:left w:val="single" w:color="CAC2B8" w:sz="8" w:space="0"/>
              <w:bottom w:val="single" w:color="CAC2B8" w:sz="8" w:space="0"/>
              <w:right w:val="single" w:color="CAC2B8" w:sz="8" w:space="0"/>
              <w:tl2br w:val="nil"/>
              <w:tr2bl w:val="nil"/>
            </w:tcBorders>
            <w:shd w:val="clear" w:color="auto" w:fill="CAC2B8"/>
          </w:tcPr>
          <w:p w:rsidRPr="00E62A8D" w:rsidR="001E22E1" w:rsidP="00125712" w:rsidRDefault="001E22E1" w14:paraId="0BDDE953" w14:textId="77777777">
            <w:pPr>
              <w:pStyle w:val="Title"/>
              <w:rPr>
                <w:sz w:val="24"/>
                <w:szCs w:val="24"/>
              </w:rPr>
            </w:pPr>
            <w:bookmarkStart w:name="_Toc293961169" w:id="17"/>
            <w:r w:rsidRPr="00E62A8D">
              <w:rPr>
                <w:sz w:val="24"/>
                <w:szCs w:val="24"/>
              </w:rPr>
              <w:t>Document History</w:t>
            </w:r>
            <w:bookmarkEnd w:id="17"/>
          </w:p>
        </w:tc>
      </w:tr>
      <w:tr w:rsidR="001E22E1" w:rsidTr="00125712" w14:paraId="23D03AB4" w14:textId="77777777">
        <w:tc>
          <w:tcPr>
            <w:tcW w:w="1097" w:type="dxa"/>
            <w:shd w:val="clear" w:color="auto" w:fill="auto"/>
          </w:tcPr>
          <w:p w:rsidRPr="0044032F" w:rsidR="001E22E1" w:rsidP="00125712" w:rsidRDefault="001E22E1" w14:paraId="2BFBB730" w14:textId="77777777">
            <w:pPr>
              <w:rPr>
                <w:rFonts w:eastAsia="Arial"/>
                <w:b/>
              </w:rPr>
            </w:pPr>
            <w:r w:rsidRPr="0044032F">
              <w:rPr>
                <w:rFonts w:eastAsia="Arial"/>
                <w:b/>
              </w:rPr>
              <w:t>Version</w:t>
            </w:r>
          </w:p>
        </w:tc>
        <w:tc>
          <w:tcPr>
            <w:tcW w:w="2130" w:type="dxa"/>
            <w:shd w:val="clear" w:color="auto" w:fill="auto"/>
          </w:tcPr>
          <w:p w:rsidRPr="0044032F" w:rsidR="001E22E1" w:rsidP="00125712" w:rsidRDefault="001E22E1" w14:paraId="72AF73C4" w14:textId="77777777">
            <w:pPr>
              <w:rPr>
                <w:rFonts w:eastAsia="Arial"/>
                <w:b/>
              </w:rPr>
            </w:pPr>
            <w:r w:rsidRPr="0044032F">
              <w:rPr>
                <w:rFonts w:eastAsia="Arial"/>
                <w:b/>
              </w:rPr>
              <w:t>Date</w:t>
            </w:r>
          </w:p>
        </w:tc>
        <w:tc>
          <w:tcPr>
            <w:tcW w:w="6015" w:type="dxa"/>
            <w:shd w:val="clear" w:color="auto" w:fill="auto"/>
          </w:tcPr>
          <w:p w:rsidRPr="0044032F" w:rsidR="001E22E1" w:rsidP="00125712" w:rsidRDefault="001E22E1" w14:paraId="4FF92368" w14:textId="77777777">
            <w:pPr>
              <w:rPr>
                <w:rFonts w:eastAsia="Arial"/>
                <w:b/>
              </w:rPr>
            </w:pPr>
            <w:r w:rsidRPr="0044032F">
              <w:rPr>
                <w:rFonts w:eastAsia="Arial"/>
                <w:b/>
              </w:rPr>
              <w:t>Summary of change</w:t>
            </w:r>
          </w:p>
        </w:tc>
      </w:tr>
      <w:tr w:rsidR="001E22E1" w:rsidTr="00125712" w14:paraId="188F4666" w14:textId="77777777">
        <w:tc>
          <w:tcPr>
            <w:tcW w:w="1097" w:type="dxa"/>
            <w:shd w:val="clear" w:color="auto" w:fill="auto"/>
          </w:tcPr>
          <w:p w:rsidRPr="00832659" w:rsidR="001E22E1" w:rsidP="00125712" w:rsidRDefault="001E22E1" w14:paraId="0668D0C7" w14:textId="77777777">
            <w:pPr>
              <w:rPr>
                <w:rFonts w:eastAsia="Arial"/>
              </w:rPr>
            </w:pPr>
            <w:r w:rsidRPr="00832659">
              <w:rPr>
                <w:rFonts w:eastAsia="Arial"/>
              </w:rPr>
              <w:t>0.1</w:t>
            </w:r>
          </w:p>
        </w:tc>
        <w:tc>
          <w:tcPr>
            <w:tcW w:w="2130" w:type="dxa"/>
            <w:shd w:val="clear" w:color="auto" w:fill="auto"/>
          </w:tcPr>
          <w:p w:rsidRPr="00832659" w:rsidR="001E22E1" w:rsidP="00125712" w:rsidRDefault="001E22E1" w14:paraId="7E1E1D68" w14:textId="77777777">
            <w:pPr>
              <w:rPr>
                <w:rFonts w:eastAsia="Arial"/>
              </w:rPr>
            </w:pPr>
            <w:r>
              <w:rPr>
                <w:rFonts w:eastAsia="Arial"/>
              </w:rPr>
              <w:t>2005</w:t>
            </w:r>
          </w:p>
        </w:tc>
        <w:tc>
          <w:tcPr>
            <w:tcW w:w="6015" w:type="dxa"/>
            <w:shd w:val="clear" w:color="auto" w:fill="auto"/>
          </w:tcPr>
          <w:p w:rsidRPr="00832659" w:rsidR="001E22E1" w:rsidP="00125712" w:rsidRDefault="001E22E1" w14:paraId="645B2B0C" w14:textId="77777777">
            <w:pPr>
              <w:rPr>
                <w:rFonts w:eastAsia="Arial"/>
              </w:rPr>
            </w:pPr>
            <w:r>
              <w:rPr>
                <w:rFonts w:eastAsia="Arial"/>
              </w:rPr>
              <w:t>First Draft (unapproved)</w:t>
            </w:r>
          </w:p>
        </w:tc>
      </w:tr>
      <w:tr w:rsidR="001E22E1" w:rsidTr="00125712" w14:paraId="52DEA7B9" w14:textId="77777777">
        <w:tc>
          <w:tcPr>
            <w:tcW w:w="1097" w:type="dxa"/>
            <w:shd w:val="clear" w:color="auto" w:fill="auto"/>
          </w:tcPr>
          <w:p w:rsidRPr="00867FB3" w:rsidR="001E22E1" w:rsidP="00125712" w:rsidRDefault="001E22E1" w14:paraId="4B8C8521" w14:textId="77777777">
            <w:pPr>
              <w:rPr>
                <w:rFonts w:eastAsia="Arial"/>
              </w:rPr>
            </w:pPr>
            <w:r>
              <w:rPr>
                <w:rFonts w:eastAsia="Arial"/>
              </w:rPr>
              <w:t>0.2</w:t>
            </w:r>
          </w:p>
        </w:tc>
        <w:tc>
          <w:tcPr>
            <w:tcW w:w="2130" w:type="dxa"/>
            <w:shd w:val="clear" w:color="auto" w:fill="auto"/>
          </w:tcPr>
          <w:p w:rsidR="001E22E1" w:rsidP="00125712" w:rsidRDefault="001E22E1" w14:paraId="68DC272A" w14:textId="77777777">
            <w:pPr>
              <w:rPr>
                <w:rFonts w:eastAsia="Arial"/>
              </w:rPr>
            </w:pPr>
            <w:r>
              <w:rPr>
                <w:rFonts w:eastAsia="Arial"/>
              </w:rPr>
              <w:t xml:space="preserve">03/12/2013 </w:t>
            </w:r>
          </w:p>
          <w:p w:rsidRPr="00832659" w:rsidR="001E22E1" w:rsidP="00125712" w:rsidRDefault="001E22E1" w14:paraId="60D770D7" w14:textId="77777777">
            <w:pPr>
              <w:rPr>
                <w:rFonts w:eastAsia="Arial"/>
              </w:rPr>
            </w:pPr>
            <w:r>
              <w:rPr>
                <w:rFonts w:eastAsia="Arial"/>
              </w:rPr>
              <w:t>(ISC)</w:t>
            </w:r>
          </w:p>
        </w:tc>
        <w:tc>
          <w:tcPr>
            <w:tcW w:w="6015" w:type="dxa"/>
            <w:shd w:val="clear" w:color="auto" w:fill="auto"/>
          </w:tcPr>
          <w:p w:rsidRPr="00832659" w:rsidR="001E22E1" w:rsidP="00125712" w:rsidRDefault="001E22E1" w14:paraId="4410C83D" w14:textId="77777777">
            <w:pPr>
              <w:rPr>
                <w:rFonts w:eastAsia="Arial"/>
              </w:rPr>
            </w:pPr>
            <w:r>
              <w:rPr>
                <w:rFonts w:eastAsia="Arial"/>
              </w:rPr>
              <w:t>New processes for handling enquiries and responsibilities of staff</w:t>
            </w:r>
          </w:p>
        </w:tc>
      </w:tr>
      <w:tr w:rsidR="001E22E1" w:rsidTr="00125712" w14:paraId="19D654A4" w14:textId="77777777">
        <w:tc>
          <w:tcPr>
            <w:tcW w:w="1097" w:type="dxa"/>
            <w:shd w:val="clear" w:color="auto" w:fill="auto"/>
          </w:tcPr>
          <w:p w:rsidRPr="0044032F" w:rsidR="001E22E1" w:rsidP="00125712" w:rsidRDefault="001E22E1" w14:paraId="42D53CB3" w14:textId="77777777">
            <w:pPr>
              <w:rPr>
                <w:rFonts w:eastAsia="Arial"/>
              </w:rPr>
            </w:pPr>
            <w:r>
              <w:rPr>
                <w:rFonts w:eastAsia="Arial"/>
              </w:rPr>
              <w:t>0.3</w:t>
            </w:r>
          </w:p>
        </w:tc>
        <w:tc>
          <w:tcPr>
            <w:tcW w:w="2130" w:type="dxa"/>
            <w:shd w:val="clear" w:color="auto" w:fill="auto"/>
          </w:tcPr>
          <w:p w:rsidR="001E22E1" w:rsidP="00125712" w:rsidRDefault="001E22E1" w14:paraId="0986665D" w14:textId="77777777">
            <w:pPr>
              <w:rPr>
                <w:rFonts w:eastAsia="Arial"/>
              </w:rPr>
            </w:pPr>
            <w:r>
              <w:rPr>
                <w:rFonts w:eastAsia="Arial"/>
              </w:rPr>
              <w:t>09</w:t>
            </w:r>
            <w:r w:rsidRPr="0044032F">
              <w:rPr>
                <w:rFonts w:eastAsia="Arial"/>
              </w:rPr>
              <w:t>/</w:t>
            </w:r>
            <w:r>
              <w:rPr>
                <w:rFonts w:eastAsia="Arial"/>
              </w:rPr>
              <w:t>05</w:t>
            </w:r>
            <w:r w:rsidRPr="0044032F">
              <w:rPr>
                <w:rFonts w:eastAsia="Arial"/>
              </w:rPr>
              <w:t>/201</w:t>
            </w:r>
            <w:r>
              <w:rPr>
                <w:rFonts w:eastAsia="Arial"/>
              </w:rPr>
              <w:t>7</w:t>
            </w:r>
          </w:p>
          <w:p w:rsidRPr="0044032F" w:rsidR="001E22E1" w:rsidP="00125712" w:rsidRDefault="001E22E1" w14:paraId="0411AE45" w14:textId="77777777">
            <w:pPr>
              <w:rPr>
                <w:rFonts w:eastAsia="Arial"/>
              </w:rPr>
            </w:pPr>
            <w:r>
              <w:rPr>
                <w:rFonts w:eastAsia="Arial"/>
              </w:rPr>
              <w:t>(ISC)</w:t>
            </w:r>
          </w:p>
        </w:tc>
        <w:tc>
          <w:tcPr>
            <w:tcW w:w="6015" w:type="dxa"/>
            <w:shd w:val="clear" w:color="auto" w:fill="auto"/>
          </w:tcPr>
          <w:p w:rsidR="001E22E1" w:rsidP="001E22E1" w:rsidRDefault="001E22E1" w14:paraId="35572E30" w14:textId="77777777">
            <w:pPr>
              <w:rPr>
                <w:rFonts w:eastAsia="Arial"/>
              </w:rPr>
            </w:pPr>
            <w:r>
              <w:rPr>
                <w:rFonts w:eastAsia="Arial"/>
              </w:rPr>
              <w:t>Responsibilities of staff in new organisational structure</w:t>
            </w:r>
          </w:p>
          <w:p w:rsidR="001E22E1" w:rsidP="001E22E1" w:rsidRDefault="001E22E1" w14:paraId="6C93A5DA" w14:textId="77777777">
            <w:pPr>
              <w:rPr>
                <w:rFonts w:eastAsia="Arial"/>
              </w:rPr>
            </w:pPr>
            <w:r>
              <w:rPr>
                <w:rFonts w:eastAsia="Arial"/>
              </w:rPr>
              <w:t>Reference to New Appeals Procedure</w:t>
            </w:r>
          </w:p>
          <w:p w:rsidRPr="0044032F" w:rsidR="001E22E1" w:rsidP="001E22E1" w:rsidRDefault="001E22E1" w14:paraId="774E81CC" w14:textId="77777777">
            <w:pPr>
              <w:rPr>
                <w:rFonts w:eastAsia="Arial"/>
              </w:rPr>
            </w:pPr>
            <w:r>
              <w:rPr>
                <w:rFonts w:eastAsia="Arial"/>
              </w:rPr>
              <w:t>Formatted in line with latest template from Information Services for information governance policies</w:t>
            </w:r>
          </w:p>
        </w:tc>
      </w:tr>
      <w:tr w:rsidR="001E22E1" w:rsidTr="00125712" w14:paraId="136B8EBF" w14:textId="77777777">
        <w:tc>
          <w:tcPr>
            <w:tcW w:w="1097" w:type="dxa"/>
            <w:shd w:val="clear" w:color="auto" w:fill="auto"/>
          </w:tcPr>
          <w:p w:rsidR="001E22E1" w:rsidP="00125712" w:rsidRDefault="001E22E1" w14:paraId="4E79CFD9" w14:textId="77777777">
            <w:pPr>
              <w:rPr>
                <w:rFonts w:eastAsia="Arial"/>
              </w:rPr>
            </w:pPr>
            <w:r>
              <w:rPr>
                <w:rFonts w:eastAsia="Arial"/>
              </w:rPr>
              <w:t>0.4</w:t>
            </w:r>
          </w:p>
        </w:tc>
        <w:tc>
          <w:tcPr>
            <w:tcW w:w="2130" w:type="dxa"/>
            <w:shd w:val="clear" w:color="auto" w:fill="auto"/>
          </w:tcPr>
          <w:p w:rsidR="001E22E1" w:rsidP="00125712" w:rsidRDefault="001E22E1" w14:paraId="3227A17B" w14:textId="77777777">
            <w:pPr>
              <w:rPr>
                <w:rFonts w:eastAsia="Arial"/>
              </w:rPr>
            </w:pPr>
            <w:r>
              <w:rPr>
                <w:rFonts w:eastAsia="Arial"/>
              </w:rPr>
              <w:t>18/05/2017</w:t>
            </w:r>
          </w:p>
          <w:p w:rsidR="001E22E1" w:rsidP="00125712" w:rsidRDefault="001E22E1" w14:paraId="356AC9DF" w14:textId="77777777">
            <w:pPr>
              <w:rPr>
                <w:rFonts w:eastAsia="Arial"/>
              </w:rPr>
            </w:pPr>
            <w:r>
              <w:rPr>
                <w:rFonts w:eastAsia="Arial"/>
              </w:rPr>
              <w:t>(Chair’s Action)</w:t>
            </w:r>
          </w:p>
        </w:tc>
        <w:tc>
          <w:tcPr>
            <w:tcW w:w="6015" w:type="dxa"/>
            <w:shd w:val="clear" w:color="auto" w:fill="auto"/>
          </w:tcPr>
          <w:p w:rsidR="001E22E1" w:rsidP="001E22E1" w:rsidRDefault="001E22E1" w14:paraId="5CCF2FD9" w14:textId="77777777">
            <w:pPr>
              <w:rPr>
                <w:rFonts w:eastAsia="Arial"/>
              </w:rPr>
            </w:pPr>
            <w:r>
              <w:rPr>
                <w:rFonts w:eastAsia="Arial"/>
              </w:rPr>
              <w:t>Additional paragraph relating to the Faculty of Health Social Care and Education (3.7)</w:t>
            </w:r>
          </w:p>
        </w:tc>
      </w:tr>
      <w:tr w:rsidR="001E22E1" w:rsidTr="00125712" w14:paraId="6933E8F0" w14:textId="77777777">
        <w:tc>
          <w:tcPr>
            <w:tcW w:w="1097" w:type="dxa"/>
            <w:shd w:val="clear" w:color="auto" w:fill="auto"/>
          </w:tcPr>
          <w:p w:rsidRPr="006D5071" w:rsidR="001E22E1" w:rsidP="00125712" w:rsidRDefault="001E22E1" w14:paraId="204FF2FB" w14:textId="77777777">
            <w:pPr>
              <w:rPr>
                <w:rFonts w:eastAsia="Arial"/>
              </w:rPr>
            </w:pPr>
            <w:r w:rsidRPr="006D5071">
              <w:rPr>
                <w:rFonts w:eastAsia="Arial"/>
              </w:rPr>
              <w:t>0.5</w:t>
            </w:r>
          </w:p>
        </w:tc>
        <w:tc>
          <w:tcPr>
            <w:tcW w:w="2130" w:type="dxa"/>
            <w:shd w:val="clear" w:color="auto" w:fill="auto"/>
          </w:tcPr>
          <w:p w:rsidRPr="006D5071" w:rsidR="001E22E1" w:rsidP="00125712" w:rsidRDefault="001E22E1" w14:paraId="36294680" w14:textId="77777777">
            <w:pPr>
              <w:rPr>
                <w:rFonts w:eastAsia="Arial"/>
              </w:rPr>
            </w:pPr>
            <w:r w:rsidRPr="006D5071">
              <w:rPr>
                <w:rFonts w:eastAsia="Arial"/>
              </w:rPr>
              <w:t>12/10/2017</w:t>
            </w:r>
          </w:p>
          <w:p w:rsidRPr="006D5071" w:rsidR="001E22E1" w:rsidP="00125712" w:rsidRDefault="001E22E1" w14:paraId="688262A1" w14:textId="77777777">
            <w:pPr>
              <w:rPr>
                <w:rFonts w:eastAsia="Arial"/>
              </w:rPr>
            </w:pPr>
            <w:r w:rsidRPr="006D5071">
              <w:rPr>
                <w:rFonts w:eastAsia="Arial"/>
              </w:rPr>
              <w:t>(ISC)</w:t>
            </w:r>
          </w:p>
        </w:tc>
        <w:tc>
          <w:tcPr>
            <w:tcW w:w="6015" w:type="dxa"/>
            <w:shd w:val="clear" w:color="auto" w:fill="auto"/>
          </w:tcPr>
          <w:p w:rsidRPr="006D5071" w:rsidR="001E22E1" w:rsidP="001E22E1" w:rsidRDefault="001E22E1" w14:paraId="6D0EBB4A" w14:textId="77777777">
            <w:pPr>
              <w:rPr>
                <w:rFonts w:eastAsia="Arial"/>
              </w:rPr>
            </w:pPr>
            <w:r w:rsidRPr="006D5071">
              <w:rPr>
                <w:rFonts w:eastAsia="Arial"/>
              </w:rPr>
              <w:t>Complaints and Appeals Procedure (Appendix A)</w:t>
            </w:r>
          </w:p>
        </w:tc>
      </w:tr>
      <w:tr w:rsidR="001E22E1" w:rsidTr="00125712" w14:paraId="39CFC381" w14:textId="77777777">
        <w:tc>
          <w:tcPr>
            <w:tcW w:w="1097" w:type="dxa"/>
            <w:shd w:val="clear" w:color="auto" w:fill="auto"/>
          </w:tcPr>
          <w:p w:rsidRPr="001E22E1" w:rsidR="001E22E1" w:rsidP="00125712" w:rsidRDefault="001E22E1" w14:paraId="077C1E20" w14:textId="77777777">
            <w:pPr>
              <w:rPr>
                <w:rFonts w:eastAsia="Arial"/>
              </w:rPr>
            </w:pPr>
            <w:r w:rsidRPr="001E22E1">
              <w:rPr>
                <w:rFonts w:eastAsia="Arial"/>
              </w:rPr>
              <w:t>0.6</w:t>
            </w:r>
          </w:p>
        </w:tc>
        <w:tc>
          <w:tcPr>
            <w:tcW w:w="2130" w:type="dxa"/>
            <w:shd w:val="clear" w:color="auto" w:fill="auto"/>
          </w:tcPr>
          <w:p w:rsidRPr="001E22E1" w:rsidR="001E22E1" w:rsidP="00125712" w:rsidRDefault="001E22E1" w14:paraId="3F9C6A6C" w14:textId="77777777">
            <w:pPr>
              <w:rPr>
                <w:rFonts w:eastAsia="Arial"/>
              </w:rPr>
            </w:pPr>
            <w:r w:rsidRPr="001E22E1">
              <w:rPr>
                <w:rFonts w:eastAsia="Arial"/>
              </w:rPr>
              <w:t>02/12/2019</w:t>
            </w:r>
          </w:p>
        </w:tc>
        <w:tc>
          <w:tcPr>
            <w:tcW w:w="6015" w:type="dxa"/>
            <w:shd w:val="clear" w:color="auto" w:fill="auto"/>
          </w:tcPr>
          <w:p w:rsidRPr="001E22E1" w:rsidR="001E22E1" w:rsidP="001E22E1" w:rsidRDefault="001E22E1" w14:paraId="44317E86" w14:textId="18A5E12F">
            <w:pPr>
              <w:rPr>
                <w:rFonts w:eastAsia="Arial"/>
              </w:rPr>
            </w:pPr>
            <w:r w:rsidRPr="001E22E1">
              <w:rPr>
                <w:rFonts w:eastAsia="Arial"/>
              </w:rPr>
              <w:t>Engagement and inclusion of Environmental Information Regulations</w:t>
            </w:r>
          </w:p>
        </w:tc>
      </w:tr>
      <w:tr w:rsidR="001E22E1" w:rsidTr="00125712" w14:paraId="61E3B72E" w14:textId="77777777">
        <w:tc>
          <w:tcPr>
            <w:tcW w:w="1097" w:type="dxa"/>
            <w:shd w:val="clear" w:color="auto" w:fill="auto"/>
          </w:tcPr>
          <w:p w:rsidRPr="001E22E1" w:rsidR="001E22E1" w:rsidP="00125712" w:rsidRDefault="001E22E1" w14:paraId="693E048A" w14:textId="77F73BA5">
            <w:pPr>
              <w:rPr>
                <w:rFonts w:eastAsia="Arial"/>
              </w:rPr>
            </w:pPr>
            <w:r>
              <w:rPr>
                <w:rFonts w:eastAsia="Arial"/>
              </w:rPr>
              <w:t>2</w:t>
            </w:r>
          </w:p>
        </w:tc>
        <w:tc>
          <w:tcPr>
            <w:tcW w:w="2130" w:type="dxa"/>
            <w:shd w:val="clear" w:color="auto" w:fill="auto"/>
          </w:tcPr>
          <w:p w:rsidRPr="001E22E1" w:rsidR="001E22E1" w:rsidP="00125712" w:rsidRDefault="001E22E1" w14:paraId="0B410664" w14:textId="2DBA4470">
            <w:pPr>
              <w:rPr>
                <w:rFonts w:eastAsia="Arial"/>
              </w:rPr>
            </w:pPr>
            <w:r>
              <w:rPr>
                <w:rFonts w:eastAsia="Arial"/>
              </w:rPr>
              <w:t>28/09/2022</w:t>
            </w:r>
          </w:p>
        </w:tc>
        <w:tc>
          <w:tcPr>
            <w:tcW w:w="6015" w:type="dxa"/>
            <w:shd w:val="clear" w:color="auto" w:fill="auto"/>
          </w:tcPr>
          <w:p w:rsidRPr="001E22E1" w:rsidR="001E22E1" w:rsidP="001E22E1" w:rsidRDefault="001E22E1" w14:paraId="72104648" w14:textId="77777777">
            <w:pPr>
              <w:rPr>
                <w:rFonts w:cs="Arial"/>
              </w:rPr>
            </w:pPr>
            <w:r w:rsidRPr="001E22E1">
              <w:rPr>
                <w:rFonts w:cs="Arial"/>
                <w:b/>
              </w:rPr>
              <w:t>Introduction</w:t>
            </w:r>
            <w:r w:rsidRPr="001E22E1">
              <w:rPr>
                <w:rFonts w:cs="Arial"/>
              </w:rPr>
              <w:t xml:space="preserve">: </w:t>
            </w:r>
          </w:p>
          <w:p w:rsidRPr="001E22E1" w:rsidR="001E22E1" w:rsidP="001E22E1" w:rsidRDefault="001E22E1" w14:paraId="756527CC" w14:textId="77777777">
            <w:pPr>
              <w:rPr>
                <w:rFonts w:cs="Arial"/>
              </w:rPr>
            </w:pPr>
            <w:r w:rsidRPr="001E22E1">
              <w:rPr>
                <w:rFonts w:cs="Arial"/>
              </w:rPr>
              <w:t>Revised to include the Environmental Information Regulations.</w:t>
            </w:r>
          </w:p>
          <w:p w:rsidRPr="001E22E1" w:rsidR="001E22E1" w:rsidP="001E22E1" w:rsidRDefault="001E22E1" w14:paraId="44B4AFD3" w14:textId="77777777">
            <w:pPr>
              <w:rPr>
                <w:rFonts w:cs="Arial"/>
              </w:rPr>
            </w:pPr>
            <w:r w:rsidRPr="001E22E1">
              <w:rPr>
                <w:rFonts w:cs="Arial"/>
                <w:b/>
              </w:rPr>
              <w:t>Scope</w:t>
            </w:r>
            <w:r w:rsidRPr="001E22E1">
              <w:rPr>
                <w:rFonts w:cs="Arial"/>
              </w:rPr>
              <w:t xml:space="preserve">:  </w:t>
            </w:r>
          </w:p>
          <w:p w:rsidRPr="001E22E1" w:rsidR="001E22E1" w:rsidP="001E22E1" w:rsidRDefault="001E22E1" w14:paraId="62CA0F16" w14:textId="77777777">
            <w:pPr>
              <w:rPr>
                <w:rFonts w:cs="Arial"/>
              </w:rPr>
            </w:pPr>
            <w:r w:rsidRPr="001E22E1">
              <w:rPr>
                <w:rFonts w:cs="Arial"/>
              </w:rPr>
              <w:t xml:space="preserve">Revised and updated to reference ‘recorded information’ as per the Act.  Point 3 EIR incorporated into the introduction to ensure the policy covers both pieces of access to information legislation.  Added reference to contractors and suppliers.  </w:t>
            </w:r>
          </w:p>
          <w:p w:rsidRPr="001E22E1" w:rsidR="001E22E1" w:rsidP="001E22E1" w:rsidRDefault="001E22E1" w14:paraId="7CB1AC3C" w14:textId="77777777">
            <w:pPr>
              <w:rPr>
                <w:rFonts w:cs="Arial"/>
              </w:rPr>
            </w:pPr>
            <w:r w:rsidRPr="001E22E1">
              <w:rPr>
                <w:rFonts w:cs="Arial"/>
                <w:b/>
              </w:rPr>
              <w:t>Purpose</w:t>
            </w:r>
            <w:r w:rsidRPr="001E22E1">
              <w:rPr>
                <w:rFonts w:cs="Arial"/>
              </w:rPr>
              <w:t>:</w:t>
            </w:r>
          </w:p>
          <w:p w:rsidRPr="001E22E1" w:rsidR="001E22E1" w:rsidP="001E22E1" w:rsidRDefault="001E22E1" w14:paraId="4729738E" w14:textId="77777777">
            <w:pPr>
              <w:rPr>
                <w:rFonts w:cs="Arial"/>
              </w:rPr>
            </w:pPr>
            <w:r w:rsidRPr="001E22E1">
              <w:rPr>
                <w:rFonts w:cs="Arial"/>
              </w:rPr>
              <w:t xml:space="preserve">New addition covering what the policy intends to achieve.  </w:t>
            </w:r>
          </w:p>
          <w:p w:rsidRPr="001E22E1" w:rsidR="001E22E1" w:rsidP="001E22E1" w:rsidRDefault="001E22E1" w14:paraId="1C42EEDF" w14:textId="77777777">
            <w:pPr>
              <w:rPr>
                <w:rFonts w:cs="Arial"/>
              </w:rPr>
            </w:pPr>
            <w:r w:rsidRPr="001E22E1">
              <w:rPr>
                <w:rFonts w:cs="Arial"/>
                <w:b/>
              </w:rPr>
              <w:t>Responsibilities</w:t>
            </w:r>
            <w:r w:rsidRPr="001E22E1">
              <w:rPr>
                <w:rFonts w:cs="Arial"/>
              </w:rPr>
              <w:t>:</w:t>
            </w:r>
          </w:p>
          <w:p w:rsidRPr="001E22E1" w:rsidR="001E22E1" w:rsidP="001E22E1" w:rsidRDefault="001E22E1" w14:paraId="4ED2A426" w14:textId="77777777">
            <w:pPr>
              <w:rPr>
                <w:rFonts w:cs="Arial"/>
              </w:rPr>
            </w:pPr>
            <w:r w:rsidRPr="001E22E1">
              <w:rPr>
                <w:rFonts w:cs="Arial"/>
              </w:rPr>
              <w:t>Removed reference to the Joint Faculty due to dissolution.  Updated role of Records Manager and the Senior Governance Officer (Risk Management).  Added section on the FOI Leads.</w:t>
            </w:r>
            <w:r w:rsidRPr="001E22E1">
              <w:rPr>
                <w:rFonts w:cs="Arial"/>
                <w:color w:val="000000"/>
                <w:lang w:eastAsia="en-GB"/>
              </w:rPr>
              <w:br/>
            </w:r>
            <w:r w:rsidRPr="001E22E1">
              <w:rPr>
                <w:rFonts w:cs="Arial"/>
              </w:rPr>
              <w:t xml:space="preserve">Streamlined section.  </w:t>
            </w:r>
          </w:p>
          <w:p w:rsidRPr="001E22E1" w:rsidR="001E22E1" w:rsidP="001E22E1" w:rsidRDefault="001E22E1" w14:paraId="01F0160F" w14:textId="77777777">
            <w:pPr>
              <w:rPr>
                <w:rFonts w:cs="Arial"/>
                <w:b/>
              </w:rPr>
            </w:pPr>
            <w:r w:rsidRPr="001E22E1">
              <w:rPr>
                <w:rFonts w:cs="Arial"/>
                <w:b/>
              </w:rPr>
              <w:t>Publication Scheme</w:t>
            </w:r>
          </w:p>
          <w:p w:rsidRPr="001E22E1" w:rsidR="001E22E1" w:rsidP="001E22E1" w:rsidRDefault="001E22E1" w14:paraId="728ADF2A" w14:textId="77777777">
            <w:pPr>
              <w:rPr>
                <w:rFonts w:cs="Arial"/>
              </w:rPr>
            </w:pPr>
            <w:r w:rsidRPr="001E22E1">
              <w:rPr>
                <w:rFonts w:cs="Arial"/>
              </w:rPr>
              <w:t xml:space="preserve">Added annual review of scheme to ensure currency  </w:t>
            </w:r>
          </w:p>
          <w:p w:rsidRPr="001E22E1" w:rsidR="001E22E1" w:rsidP="001E22E1" w:rsidRDefault="001E22E1" w14:paraId="54A0446C" w14:textId="77777777">
            <w:pPr>
              <w:rPr>
                <w:rFonts w:cs="Arial"/>
                <w:b/>
              </w:rPr>
            </w:pPr>
            <w:r w:rsidRPr="001E22E1">
              <w:rPr>
                <w:rFonts w:cs="Arial"/>
                <w:b/>
              </w:rPr>
              <w:t>Requests for Information</w:t>
            </w:r>
          </w:p>
          <w:p w:rsidRPr="001E22E1" w:rsidR="001E22E1" w:rsidP="001E22E1" w:rsidRDefault="001E22E1" w14:paraId="236DBEE0" w14:textId="77777777">
            <w:pPr>
              <w:rPr>
                <w:rFonts w:cs="Arial"/>
              </w:rPr>
            </w:pPr>
            <w:r w:rsidRPr="001E22E1">
              <w:rPr>
                <w:rFonts w:cs="Arial"/>
              </w:rPr>
              <w:t xml:space="preserve">Added right to appeal to rights to public.  Added EIR – how to make a request and that information can be viewed onsite.  Added requirement to offer advice and assistance.  Timeframes updated.  </w:t>
            </w:r>
          </w:p>
          <w:p w:rsidRPr="001E22E1" w:rsidR="001E22E1" w:rsidP="001E22E1" w:rsidRDefault="001E22E1" w14:paraId="44405078" w14:textId="77777777">
            <w:pPr>
              <w:rPr>
                <w:rFonts w:cs="Arial"/>
                <w:b/>
              </w:rPr>
            </w:pPr>
            <w:r w:rsidRPr="001E22E1">
              <w:rPr>
                <w:rFonts w:cs="Arial"/>
                <w:b/>
              </w:rPr>
              <w:t>Fees</w:t>
            </w:r>
          </w:p>
          <w:p w:rsidRPr="001E22E1" w:rsidR="001E22E1" w:rsidP="001E22E1" w:rsidRDefault="001E22E1" w14:paraId="725BF52A" w14:textId="77777777">
            <w:pPr>
              <w:rPr>
                <w:rFonts w:cs="Arial"/>
              </w:rPr>
            </w:pPr>
            <w:r w:rsidRPr="001E22E1">
              <w:rPr>
                <w:rFonts w:cs="Arial"/>
              </w:rPr>
              <w:t>Added reference to the fee regulations</w:t>
            </w:r>
          </w:p>
          <w:p w:rsidRPr="001E22E1" w:rsidR="001E22E1" w:rsidP="001E22E1" w:rsidRDefault="001E22E1" w14:paraId="4CD949D6" w14:textId="77777777">
            <w:pPr>
              <w:rPr>
                <w:rFonts w:cs="Arial"/>
                <w:b/>
              </w:rPr>
            </w:pPr>
            <w:r w:rsidRPr="001E22E1">
              <w:rPr>
                <w:rFonts w:cs="Arial"/>
                <w:b/>
              </w:rPr>
              <w:lastRenderedPageBreak/>
              <w:t>Exemptions</w:t>
            </w:r>
          </w:p>
          <w:p w:rsidRPr="001E22E1" w:rsidR="001E22E1" w:rsidP="001E22E1" w:rsidRDefault="001E22E1" w14:paraId="46F28111" w14:textId="77777777">
            <w:pPr>
              <w:rPr>
                <w:rFonts w:cs="Arial"/>
              </w:rPr>
            </w:pPr>
            <w:r w:rsidRPr="001E22E1">
              <w:rPr>
                <w:rFonts w:cs="Arial"/>
              </w:rPr>
              <w:t xml:space="preserve">Streamlined, removing reference to a limited number of specific exemptions.  Added requirement that a clear statement regarding why an exemption was applied should be made.  Directed compilers of responses to GLAS for guidance if they have queries around exemptions.  </w:t>
            </w:r>
          </w:p>
          <w:p w:rsidRPr="001E22E1" w:rsidR="001E22E1" w:rsidP="001E22E1" w:rsidRDefault="001E22E1" w14:paraId="604E3959" w14:textId="77777777">
            <w:pPr>
              <w:rPr>
                <w:rFonts w:cs="Arial"/>
                <w:b/>
              </w:rPr>
            </w:pPr>
            <w:r w:rsidRPr="001E22E1">
              <w:rPr>
                <w:rFonts w:cs="Arial"/>
                <w:b/>
              </w:rPr>
              <w:t>Appeals and Review</w:t>
            </w:r>
          </w:p>
          <w:p w:rsidRPr="001E22E1" w:rsidR="001E22E1" w:rsidP="001E22E1" w:rsidRDefault="001E22E1" w14:paraId="33FAF2CF" w14:textId="77777777">
            <w:pPr>
              <w:rPr>
                <w:rFonts w:cs="Arial"/>
              </w:rPr>
            </w:pPr>
            <w:r w:rsidRPr="001E22E1">
              <w:rPr>
                <w:rFonts w:cs="Arial"/>
              </w:rPr>
              <w:t>Link to appeal section on the website in order to only maintain once.  Took out procedural elements to maintain separately in SOP.</w:t>
            </w:r>
          </w:p>
          <w:p w:rsidRPr="001E22E1" w:rsidR="001E22E1" w:rsidP="001E22E1" w:rsidRDefault="001E22E1" w14:paraId="3D41C31F" w14:textId="77777777">
            <w:pPr>
              <w:rPr>
                <w:rFonts w:cs="Arial"/>
                <w:b/>
              </w:rPr>
            </w:pPr>
            <w:r w:rsidRPr="001E22E1">
              <w:rPr>
                <w:rFonts w:cs="Arial"/>
                <w:b/>
              </w:rPr>
              <w:t>Other relevant documents:</w:t>
            </w:r>
          </w:p>
          <w:p w:rsidRPr="001E22E1" w:rsidR="001E22E1" w:rsidP="001E22E1" w:rsidRDefault="001E22E1" w14:paraId="1EE74086" w14:textId="77777777">
            <w:pPr>
              <w:rPr>
                <w:rFonts w:cs="Arial"/>
              </w:rPr>
            </w:pPr>
            <w:r w:rsidRPr="001E22E1">
              <w:rPr>
                <w:rFonts w:cs="Arial"/>
              </w:rPr>
              <w:t xml:space="preserve">Removed reference to KUs FOI policy and procedure.  Added records management policy.  </w:t>
            </w:r>
          </w:p>
          <w:p w:rsidRPr="001E22E1" w:rsidR="001E22E1" w:rsidP="001E22E1" w:rsidRDefault="001E22E1" w14:paraId="28A31A5D" w14:textId="77777777">
            <w:pPr>
              <w:rPr>
                <w:rFonts w:cs="Arial"/>
                <w:b/>
              </w:rPr>
            </w:pPr>
            <w:r w:rsidRPr="001E22E1">
              <w:rPr>
                <w:rFonts w:cs="Arial"/>
                <w:b/>
              </w:rPr>
              <w:t>Complaints and appeals procedure:</w:t>
            </w:r>
          </w:p>
          <w:p w:rsidRPr="001E22E1" w:rsidR="001E22E1" w:rsidP="001E22E1" w:rsidRDefault="001E22E1" w14:paraId="589EDF27" w14:textId="2589FFB7">
            <w:pPr>
              <w:rPr>
                <w:rFonts w:ascii="Franklin Gothic Book" w:hAnsi="Franklin Gothic Book" w:cs="Arial"/>
                <w:sz w:val="20"/>
                <w:szCs w:val="20"/>
              </w:rPr>
            </w:pPr>
            <w:r w:rsidRPr="001E22E1">
              <w:rPr>
                <w:rFonts w:cs="Arial"/>
              </w:rPr>
              <w:t>Removed.  SOP will be maintained separately and posted on the SGUL Intranet.  Removes need to maintain duplicate copies of the SOP.</w:t>
            </w:r>
            <w:r w:rsidRPr="00F80DF8">
              <w:rPr>
                <w:rFonts w:ascii="Franklin Gothic Book" w:hAnsi="Franklin Gothic Book" w:cs="Arial"/>
                <w:sz w:val="20"/>
                <w:szCs w:val="20"/>
              </w:rPr>
              <w:t xml:space="preserve">  </w:t>
            </w:r>
          </w:p>
        </w:tc>
      </w:tr>
    </w:tbl>
    <w:p w:rsidR="001E22E1" w:rsidP="001E22E1" w:rsidRDefault="001E22E1" w14:paraId="728C0A1F" w14:textId="77777777"/>
    <w:p w:rsidR="001E22E1" w:rsidP="001E22E1" w:rsidRDefault="001E22E1" w14:paraId="016D3470" w14:textId="77777777"/>
    <w:p w:rsidR="001E22E1" w:rsidP="001E22E1" w:rsidRDefault="001E22E1" w14:paraId="558152D3" w14:textId="77777777"/>
    <w:p w:rsidRPr="0055372B" w:rsidR="001E22E1" w:rsidP="001E22E1" w:rsidRDefault="001E22E1" w14:paraId="5D5353F3" w14:textId="77777777">
      <w:pPr>
        <w:tabs>
          <w:tab w:val="left" w:pos="426"/>
          <w:tab w:val="left" w:pos="1418"/>
          <w:tab w:val="left" w:pos="1843"/>
          <w:tab w:val="left" w:pos="3544"/>
          <w:tab w:val="left" w:pos="3969"/>
          <w:tab w:val="left" w:pos="6237"/>
          <w:tab w:val="left" w:pos="6663"/>
        </w:tabs>
        <w:ind w:right="567"/>
        <w:rPr>
          <w:sz w:val="24"/>
          <w:szCs w:val="24"/>
        </w:rPr>
      </w:pPr>
    </w:p>
    <w:p w:rsidRPr="00CC7688" w:rsidR="00CA1D4A" w:rsidP="001E22E1" w:rsidRDefault="00CA1D4A" w14:paraId="2E01B673" w14:textId="77777777">
      <w:pPr>
        <w:rPr>
          <w:rFonts w:eastAsia="Times New Roman"/>
          <w:sz w:val="24"/>
          <w:szCs w:val="24"/>
          <w:lang w:val="en-US" w:eastAsia="en-GB"/>
        </w:rPr>
      </w:pPr>
    </w:p>
    <w:sectPr w:rsidRPr="00CC7688" w:rsidR="00CA1D4A" w:rsidSect="007D5978">
      <w:footerReference w:type="default" r:id="rId9"/>
      <w:footerReference w:type="first" r:id="rId10"/>
      <w:type w:val="continuous"/>
      <w:pgSz w:w="11899" w:h="16838" w:code="9"/>
      <w:pgMar w:top="1134" w:right="567" w:bottom="1134"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A2C16" w14:textId="77777777" w:rsidR="00013397" w:rsidRDefault="00013397">
      <w:r>
        <w:separator/>
      </w:r>
    </w:p>
  </w:endnote>
  <w:endnote w:type="continuationSeparator" w:id="0">
    <w:p w14:paraId="3371EEE0" w14:textId="77777777" w:rsidR="00013397" w:rsidRDefault="0001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DC1D" w14:textId="77777777" w:rsidR="008514F8" w:rsidRDefault="008514F8" w:rsidP="000355EC">
    <w:pPr>
      <w:pStyle w:val="Footer"/>
      <w:tabs>
        <w:tab w:val="clear" w:pos="4320"/>
        <w:tab w:val="clear" w:pos="8640"/>
        <w:tab w:val="center" w:pos="5103"/>
        <w:tab w:val="right" w:pos="9072"/>
      </w:tabs>
      <w:rPr>
        <w:lang w:val="en-GB"/>
      </w:rPr>
    </w:pPr>
    <w:r>
      <w:rPr>
        <w:lang w:val="en-GB"/>
      </w:rPr>
      <w:tab/>
    </w:r>
    <w:r>
      <w:rPr>
        <w:lang w:val="en-GB"/>
      </w:rPr>
      <w:tab/>
    </w:r>
    <w:r>
      <w:rPr>
        <w:lang w:val="en-GB"/>
      </w:rPr>
      <w:tab/>
    </w:r>
  </w:p>
  <w:p w14:paraId="19AF2E30" w14:textId="77777777" w:rsidR="00E554D3" w:rsidRPr="000355EC" w:rsidRDefault="00E554D3" w:rsidP="000355EC">
    <w:pPr>
      <w:pStyle w:val="Footer"/>
      <w:tabs>
        <w:tab w:val="clear" w:pos="4320"/>
        <w:tab w:val="clear" w:pos="8640"/>
        <w:tab w:val="center" w:pos="5103"/>
        <w:tab w:val="right" w:pos="9072"/>
      </w:tabs>
    </w:pPr>
    <w:r>
      <w:tab/>
    </w:r>
    <w:r w:rsidRPr="00935F3B">
      <w:t xml:space="preserve">Page </w:t>
    </w:r>
    <w:r w:rsidRPr="00935F3B">
      <w:fldChar w:fldCharType="begin"/>
    </w:r>
    <w:r w:rsidRPr="00935F3B">
      <w:instrText xml:space="preserve"> PAGE  \* Arabic  \* MERGEFORMAT </w:instrText>
    </w:r>
    <w:r w:rsidRPr="00935F3B">
      <w:fldChar w:fldCharType="separate"/>
    </w:r>
    <w:r w:rsidR="007E3D08">
      <w:rPr>
        <w:noProof/>
      </w:rPr>
      <w:t>6</w:t>
    </w:r>
    <w:r w:rsidRPr="00935F3B">
      <w:fldChar w:fldCharType="end"/>
    </w:r>
    <w:r w:rsidRPr="00935F3B">
      <w:t xml:space="preserve"> of </w:t>
    </w:r>
    <w:fldSimple w:instr=" NUMPAGES  \* Arabic  \* MERGEFORMAT ">
      <w:r w:rsidR="007E3D08">
        <w:rPr>
          <w:noProof/>
        </w:rPr>
        <w:t>7</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4CEC" w14:textId="77777777" w:rsidR="00E554D3" w:rsidRPr="00476616" w:rsidRDefault="00E554D3" w:rsidP="000355EC">
    <w:pPr>
      <w:pStyle w:val="Footer"/>
      <w:tabs>
        <w:tab w:val="clear" w:pos="4320"/>
        <w:tab w:val="clear" w:pos="8640"/>
        <w:tab w:val="center" w:pos="5103"/>
        <w:tab w:val="right" w:pos="9072"/>
      </w:tabs>
      <w:ind w:left="567"/>
      <w:rPr>
        <w:sz w:val="16"/>
        <w:szCs w:val="16"/>
      </w:rPr>
    </w:pPr>
    <w:r>
      <w:rPr>
        <w:lang w:val="en-GB"/>
      </w:rPr>
      <w:tab/>
    </w:r>
    <w:r w:rsidRPr="00476616">
      <w:rPr>
        <w:sz w:val="16"/>
        <w:szCs w:val="16"/>
        <w:lang w:val="en-GB"/>
      </w:rPr>
      <w:t xml:space="preserve">        </w:t>
    </w:r>
    <w:r w:rsidRPr="00476616">
      <w:rPr>
        <w:sz w:val="16"/>
        <w:szCs w:val="16"/>
      </w:rPr>
      <w:t xml:space="preserve">Page </w:t>
    </w:r>
    <w:r w:rsidRPr="00476616">
      <w:rPr>
        <w:sz w:val="16"/>
        <w:szCs w:val="16"/>
      </w:rPr>
      <w:fldChar w:fldCharType="begin"/>
    </w:r>
    <w:r w:rsidRPr="00476616">
      <w:rPr>
        <w:sz w:val="16"/>
        <w:szCs w:val="16"/>
      </w:rPr>
      <w:instrText xml:space="preserve"> PAGE  \* Arabic  \* MERGEFORMAT </w:instrText>
    </w:r>
    <w:r w:rsidRPr="00476616">
      <w:rPr>
        <w:sz w:val="16"/>
        <w:szCs w:val="16"/>
      </w:rPr>
      <w:fldChar w:fldCharType="separate"/>
    </w:r>
    <w:r w:rsidR="008B00BF">
      <w:rPr>
        <w:noProof/>
        <w:sz w:val="16"/>
        <w:szCs w:val="16"/>
      </w:rPr>
      <w:t>1</w:t>
    </w:r>
    <w:r w:rsidRPr="00476616">
      <w:rPr>
        <w:sz w:val="16"/>
        <w:szCs w:val="16"/>
      </w:rPr>
      <w:fldChar w:fldCharType="end"/>
    </w:r>
    <w:r w:rsidRPr="00476616">
      <w:rPr>
        <w:sz w:val="16"/>
        <w:szCs w:val="16"/>
      </w:rPr>
      <w:t xml:space="preserve"> of </w:t>
    </w:r>
    <w:r w:rsidRPr="00476616">
      <w:rPr>
        <w:sz w:val="16"/>
        <w:szCs w:val="16"/>
      </w:rPr>
      <w:fldChar w:fldCharType="begin"/>
    </w:r>
    <w:r w:rsidRPr="00476616">
      <w:rPr>
        <w:sz w:val="16"/>
        <w:szCs w:val="16"/>
      </w:rPr>
      <w:instrText xml:space="preserve"> NUMPAGES  \* Arabic  \* MERGEFORMAT </w:instrText>
    </w:r>
    <w:r w:rsidRPr="00476616">
      <w:rPr>
        <w:sz w:val="16"/>
        <w:szCs w:val="16"/>
      </w:rPr>
      <w:fldChar w:fldCharType="separate"/>
    </w:r>
    <w:r w:rsidR="008B00BF">
      <w:rPr>
        <w:noProof/>
        <w:sz w:val="16"/>
        <w:szCs w:val="16"/>
      </w:rPr>
      <w:t>7</w:t>
    </w:r>
    <w:r w:rsidRPr="00476616">
      <w:rPr>
        <w:noProof/>
        <w:sz w:val="16"/>
        <w:szCs w:val="16"/>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0DAC1" w14:textId="77777777" w:rsidR="00013397" w:rsidRDefault="00013397">
      <w:r>
        <w:separator/>
      </w:r>
    </w:p>
  </w:footnote>
  <w:footnote w:type="continuationSeparator" w:id="0">
    <w:p w14:paraId="7284B7C0" w14:textId="77777777" w:rsidR="00013397" w:rsidRDefault="00013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94E1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B0AD9"/>
    <w:multiLevelType w:val="multilevel"/>
    <w:tmpl w:val="CAAA747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FF31F16"/>
    <w:multiLevelType w:val="hybridMultilevel"/>
    <w:tmpl w:val="8206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10E99"/>
    <w:multiLevelType w:val="hybridMultilevel"/>
    <w:tmpl w:val="E6921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F2B12"/>
    <w:multiLevelType w:val="hybridMultilevel"/>
    <w:tmpl w:val="254E62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B27E7F"/>
    <w:multiLevelType w:val="hybridMultilevel"/>
    <w:tmpl w:val="309C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0455A"/>
    <w:multiLevelType w:val="multilevel"/>
    <w:tmpl w:val="CAAA747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7BD4902"/>
    <w:multiLevelType w:val="hybridMultilevel"/>
    <w:tmpl w:val="B6B6F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B439C4"/>
    <w:multiLevelType w:val="hybridMultilevel"/>
    <w:tmpl w:val="5740C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42136B"/>
    <w:multiLevelType w:val="hybridMultilevel"/>
    <w:tmpl w:val="C74C537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CB1358D"/>
    <w:multiLevelType w:val="hybridMultilevel"/>
    <w:tmpl w:val="2A3A75D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65025F"/>
    <w:multiLevelType w:val="hybridMultilevel"/>
    <w:tmpl w:val="61CE8994"/>
    <w:lvl w:ilvl="0" w:tplc="BBA67F62">
      <w:start w:val="1"/>
      <w:numFmt w:val="bullet"/>
      <w:lvlText w:val=""/>
      <w:lvlJc w:val="left"/>
      <w:pPr>
        <w:tabs>
          <w:tab w:val="num" w:pos="340"/>
        </w:tabs>
        <w:ind w:left="340" w:hanging="340"/>
      </w:pPr>
      <w:rPr>
        <w:rFonts w:ascii="Symbol" w:hAnsi="Symbol" w:cs="Symbol" w:hint="default"/>
        <w:b w:val="0"/>
        <w:bCs w:val="0"/>
        <w:i w:val="0"/>
        <w:iCs w:val="0"/>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23D7B98"/>
    <w:multiLevelType w:val="multilevel"/>
    <w:tmpl w:val="B07E4BD0"/>
    <w:lvl w:ilvl="0">
      <w:start w:val="1"/>
      <w:numFmt w:val="decimal"/>
      <w:lvlText w:val="%1"/>
      <w:lvlJc w:val="left"/>
      <w:pPr>
        <w:ind w:left="1189"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3" w15:restartNumberingAfterBreak="0">
    <w:nsid w:val="3555395E"/>
    <w:multiLevelType w:val="hybridMultilevel"/>
    <w:tmpl w:val="040EC89C"/>
    <w:lvl w:ilvl="0" w:tplc="BBA67F62">
      <w:start w:val="1"/>
      <w:numFmt w:val="bullet"/>
      <w:lvlText w:val=""/>
      <w:lvlJc w:val="left"/>
      <w:pPr>
        <w:tabs>
          <w:tab w:val="num" w:pos="340"/>
        </w:tabs>
        <w:ind w:left="340" w:hanging="340"/>
      </w:pPr>
      <w:rPr>
        <w:rFonts w:ascii="Symbol" w:hAnsi="Symbol" w:cs="Symbol" w:hint="default"/>
        <w:b w:val="0"/>
        <w:bCs w:val="0"/>
        <w:i w:val="0"/>
        <w:iCs w:val="0"/>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611788D"/>
    <w:multiLevelType w:val="multilevel"/>
    <w:tmpl w:val="2ED624E0"/>
    <w:lvl w:ilvl="0">
      <w:start w:val="1"/>
      <w:numFmt w:val="decimal"/>
      <w:lvlText w:val="%1."/>
      <w:lvlJc w:val="left"/>
      <w:pPr>
        <w:tabs>
          <w:tab w:val="num" w:pos="340"/>
        </w:tabs>
        <w:ind w:left="907" w:hanging="907"/>
      </w:pPr>
      <w:rPr>
        <w:rFonts w:hint="default"/>
        <w:b/>
        <w:sz w:val="24"/>
        <w:szCs w:val="24"/>
      </w:rPr>
    </w:lvl>
    <w:lvl w:ilvl="1">
      <w:start w:val="1"/>
      <w:numFmt w:val="decimal"/>
      <w:pStyle w:val="Text11"/>
      <w:lvlText w:val="%1.%2."/>
      <w:lvlJc w:val="left"/>
      <w:pPr>
        <w:tabs>
          <w:tab w:val="num" w:pos="792"/>
        </w:tabs>
        <w:ind w:left="792" w:hanging="792"/>
      </w:pPr>
      <w:rPr>
        <w:rFonts w:hint="default"/>
        <w:b/>
      </w:rPr>
    </w:lvl>
    <w:lvl w:ilvl="2">
      <w:start w:val="1"/>
      <w:numFmt w:val="decimal"/>
      <w:lvlText w:val="%1.%2.%3."/>
      <w:lvlJc w:val="left"/>
      <w:pPr>
        <w:tabs>
          <w:tab w:val="num" w:pos="1440"/>
        </w:tabs>
        <w:ind w:left="1418" w:hanging="6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7BA2C19"/>
    <w:multiLevelType w:val="hybridMultilevel"/>
    <w:tmpl w:val="EBE8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A33FC"/>
    <w:multiLevelType w:val="hybridMultilevel"/>
    <w:tmpl w:val="32E03D8A"/>
    <w:lvl w:ilvl="0" w:tplc="BBA67F62">
      <w:start w:val="1"/>
      <w:numFmt w:val="bullet"/>
      <w:lvlText w:val=""/>
      <w:lvlJc w:val="left"/>
      <w:pPr>
        <w:tabs>
          <w:tab w:val="num" w:pos="340"/>
        </w:tabs>
        <w:ind w:left="340" w:hanging="340"/>
      </w:pPr>
      <w:rPr>
        <w:rFonts w:ascii="Symbol" w:hAnsi="Symbol" w:cs="Symbol" w:hint="default"/>
        <w:b w:val="0"/>
        <w:bCs w:val="0"/>
        <w:i w:val="0"/>
        <w:iCs w:val="0"/>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27D7F23"/>
    <w:multiLevelType w:val="hybridMultilevel"/>
    <w:tmpl w:val="8B84E946"/>
    <w:lvl w:ilvl="0" w:tplc="BBA67F62">
      <w:start w:val="1"/>
      <w:numFmt w:val="bullet"/>
      <w:lvlText w:val=""/>
      <w:lvlJc w:val="left"/>
      <w:pPr>
        <w:tabs>
          <w:tab w:val="num" w:pos="880"/>
        </w:tabs>
        <w:ind w:left="880" w:hanging="340"/>
      </w:pPr>
      <w:rPr>
        <w:rFonts w:ascii="Symbol" w:hAnsi="Symbol" w:cs="Symbol" w:hint="default"/>
        <w:b w:val="0"/>
        <w:bCs w:val="0"/>
        <w:i w:val="0"/>
        <w:iCs w:val="0"/>
        <w:color w:val="auto"/>
        <w:sz w:val="22"/>
        <w:szCs w:val="22"/>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start w:val="1"/>
      <w:numFmt w:val="bullet"/>
      <w:lvlText w:val=""/>
      <w:lvlJc w:val="left"/>
      <w:pPr>
        <w:tabs>
          <w:tab w:val="num" w:pos="2700"/>
        </w:tabs>
        <w:ind w:left="2700" w:hanging="360"/>
      </w:pPr>
      <w:rPr>
        <w:rFonts w:ascii="Wingdings" w:hAnsi="Wingdings" w:cs="Wingdings" w:hint="default"/>
      </w:rPr>
    </w:lvl>
    <w:lvl w:ilvl="3" w:tplc="08090001">
      <w:start w:val="1"/>
      <w:numFmt w:val="bullet"/>
      <w:lvlText w:val=""/>
      <w:lvlJc w:val="left"/>
      <w:pPr>
        <w:tabs>
          <w:tab w:val="num" w:pos="3420"/>
        </w:tabs>
        <w:ind w:left="3420" w:hanging="360"/>
      </w:pPr>
      <w:rPr>
        <w:rFonts w:ascii="Symbol" w:hAnsi="Symbol" w:cs="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cs="Wingdings" w:hint="default"/>
      </w:rPr>
    </w:lvl>
    <w:lvl w:ilvl="6" w:tplc="08090001">
      <w:start w:val="1"/>
      <w:numFmt w:val="bullet"/>
      <w:lvlText w:val=""/>
      <w:lvlJc w:val="left"/>
      <w:pPr>
        <w:tabs>
          <w:tab w:val="num" w:pos="5580"/>
        </w:tabs>
        <w:ind w:left="5580" w:hanging="360"/>
      </w:pPr>
      <w:rPr>
        <w:rFonts w:ascii="Symbol" w:hAnsi="Symbol" w:cs="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cs="Wingdings" w:hint="default"/>
      </w:rPr>
    </w:lvl>
  </w:abstractNum>
  <w:abstractNum w:abstractNumId="18" w15:restartNumberingAfterBreak="0">
    <w:nsid w:val="44617BC8"/>
    <w:multiLevelType w:val="hybridMultilevel"/>
    <w:tmpl w:val="FC109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F0FCC"/>
    <w:multiLevelType w:val="multilevel"/>
    <w:tmpl w:val="8842D6C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C10DC3"/>
    <w:multiLevelType w:val="multilevel"/>
    <w:tmpl w:val="EC0AE36E"/>
    <w:lvl w:ilvl="0">
      <w:start w:val="4"/>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89E185A"/>
    <w:multiLevelType w:val="hybridMultilevel"/>
    <w:tmpl w:val="F670C07A"/>
    <w:lvl w:ilvl="0" w:tplc="9D2AE310">
      <w:start w:val="1"/>
      <w:numFmt w:val="decimal"/>
      <w:pStyle w:val="TableHeading"/>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EC160D"/>
    <w:multiLevelType w:val="multilevel"/>
    <w:tmpl w:val="CAAA747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2A67FC6"/>
    <w:multiLevelType w:val="hybridMultilevel"/>
    <w:tmpl w:val="28A6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32941"/>
    <w:multiLevelType w:val="hybridMultilevel"/>
    <w:tmpl w:val="C154245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5B5C3005"/>
    <w:multiLevelType w:val="hybridMultilevel"/>
    <w:tmpl w:val="C1AEC2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845571"/>
    <w:multiLevelType w:val="hybridMultilevel"/>
    <w:tmpl w:val="BF826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DD2685"/>
    <w:multiLevelType w:val="hybridMultilevel"/>
    <w:tmpl w:val="D066926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5E800D95"/>
    <w:multiLevelType w:val="multilevel"/>
    <w:tmpl w:val="9DB46A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B928AC"/>
    <w:multiLevelType w:val="multilevel"/>
    <w:tmpl w:val="2624A03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DC778C"/>
    <w:multiLevelType w:val="hybridMultilevel"/>
    <w:tmpl w:val="0BE4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A716A"/>
    <w:multiLevelType w:val="hybridMultilevel"/>
    <w:tmpl w:val="6406C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760AE1"/>
    <w:multiLevelType w:val="hybridMultilevel"/>
    <w:tmpl w:val="16B4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47557"/>
    <w:multiLevelType w:val="hybridMultilevel"/>
    <w:tmpl w:val="C70E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BB1742"/>
    <w:multiLevelType w:val="multilevel"/>
    <w:tmpl w:val="00C8411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5545E0"/>
    <w:multiLevelType w:val="multilevel"/>
    <w:tmpl w:val="505673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6F3AFC"/>
    <w:multiLevelType w:val="hybridMultilevel"/>
    <w:tmpl w:val="4A82D2F6"/>
    <w:lvl w:ilvl="0" w:tplc="BBA67F62">
      <w:start w:val="1"/>
      <w:numFmt w:val="bullet"/>
      <w:lvlText w:val=""/>
      <w:lvlJc w:val="left"/>
      <w:pPr>
        <w:tabs>
          <w:tab w:val="num" w:pos="340"/>
        </w:tabs>
        <w:ind w:left="340" w:hanging="340"/>
      </w:pPr>
      <w:rPr>
        <w:rFonts w:ascii="Symbol" w:hAnsi="Symbol" w:cs="Symbol" w:hint="default"/>
        <w:b w:val="0"/>
        <w:bCs w:val="0"/>
        <w:i w:val="0"/>
        <w:iCs w:val="0"/>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55E799F"/>
    <w:multiLevelType w:val="hybridMultilevel"/>
    <w:tmpl w:val="6430E1F2"/>
    <w:lvl w:ilvl="0" w:tplc="77686DD0">
      <w:start w:val="2"/>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E2E0B"/>
    <w:multiLevelType w:val="multilevel"/>
    <w:tmpl w:val="32A2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392104"/>
    <w:multiLevelType w:val="multilevel"/>
    <w:tmpl w:val="A5E48C7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6C3912"/>
    <w:multiLevelType w:val="multilevel"/>
    <w:tmpl w:val="CC6CD238"/>
    <w:lvl w:ilvl="0">
      <w:start w:val="1"/>
      <w:numFmt w:val="decimal"/>
      <w:lvlText w:val="%1.0"/>
      <w:lvlJc w:val="left"/>
      <w:pPr>
        <w:tabs>
          <w:tab w:val="num" w:pos="720"/>
        </w:tabs>
        <w:ind w:left="720" w:hanging="720"/>
      </w:pPr>
      <w:rPr>
        <w:rFonts w:hint="default"/>
      </w:rPr>
    </w:lvl>
    <w:lvl w:ilvl="1">
      <w:start w:val="1"/>
      <w:numFmt w:val="decimal"/>
      <w:pStyle w:val="Text12"/>
      <w:lvlText w:val="%1.%2"/>
      <w:lvlJc w:val="left"/>
      <w:pPr>
        <w:tabs>
          <w:tab w:val="num" w:pos="1571"/>
        </w:tabs>
        <w:ind w:left="1571"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1"/>
  </w:num>
  <w:num w:numId="3">
    <w:abstractNumId w:val="40"/>
  </w:num>
  <w:num w:numId="4">
    <w:abstractNumId w:val="14"/>
  </w:num>
  <w:num w:numId="5">
    <w:abstractNumId w:val="6"/>
  </w:num>
  <w:num w:numId="6">
    <w:abstractNumId w:val="22"/>
  </w:num>
  <w:num w:numId="7">
    <w:abstractNumId w:val="37"/>
  </w:num>
  <w:num w:numId="8">
    <w:abstractNumId w:val="9"/>
  </w:num>
  <w:num w:numId="9">
    <w:abstractNumId w:val="40"/>
  </w:num>
  <w:num w:numId="10">
    <w:abstractNumId w:val="40"/>
  </w:num>
  <w:num w:numId="11">
    <w:abstractNumId w:val="40"/>
  </w:num>
  <w:num w:numId="12">
    <w:abstractNumId w:val="40"/>
  </w:num>
  <w:num w:numId="13">
    <w:abstractNumId w:val="40"/>
  </w:num>
  <w:num w:numId="14">
    <w:abstractNumId w:val="40"/>
  </w:num>
  <w:num w:numId="15">
    <w:abstractNumId w:val="0"/>
  </w:num>
  <w:num w:numId="16">
    <w:abstractNumId w:val="35"/>
  </w:num>
  <w:num w:numId="17">
    <w:abstractNumId w:val="27"/>
  </w:num>
  <w:num w:numId="18">
    <w:abstractNumId w:val="24"/>
  </w:num>
  <w:num w:numId="19">
    <w:abstractNumId w:val="28"/>
  </w:num>
  <w:num w:numId="20">
    <w:abstractNumId w:val="32"/>
  </w:num>
  <w:num w:numId="21">
    <w:abstractNumId w:val="30"/>
  </w:num>
  <w:num w:numId="22">
    <w:abstractNumId w:val="23"/>
  </w:num>
  <w:num w:numId="23">
    <w:abstractNumId w:val="33"/>
  </w:num>
  <w:num w:numId="24">
    <w:abstractNumId w:val="4"/>
  </w:num>
  <w:num w:numId="25">
    <w:abstractNumId w:val="10"/>
  </w:num>
  <w:num w:numId="26">
    <w:abstractNumId w:val="25"/>
  </w:num>
  <w:num w:numId="27">
    <w:abstractNumId w:val="7"/>
  </w:num>
  <w:num w:numId="28">
    <w:abstractNumId w:val="11"/>
  </w:num>
  <w:num w:numId="29">
    <w:abstractNumId w:val="17"/>
  </w:num>
  <w:num w:numId="30">
    <w:abstractNumId w:val="36"/>
  </w:num>
  <w:num w:numId="31">
    <w:abstractNumId w:val="20"/>
  </w:num>
  <w:num w:numId="32">
    <w:abstractNumId w:val="16"/>
  </w:num>
  <w:num w:numId="33">
    <w:abstractNumId w:val="13"/>
  </w:num>
  <w:num w:numId="34">
    <w:abstractNumId w:val="31"/>
  </w:num>
  <w:num w:numId="35">
    <w:abstractNumId w:val="40"/>
  </w:num>
  <w:num w:numId="36">
    <w:abstractNumId w:val="40"/>
  </w:num>
  <w:num w:numId="37">
    <w:abstractNumId w:val="18"/>
  </w:num>
  <w:num w:numId="38">
    <w:abstractNumId w:val="8"/>
  </w:num>
  <w:num w:numId="39">
    <w:abstractNumId w:val="12"/>
  </w:num>
  <w:num w:numId="40">
    <w:abstractNumId w:val="29"/>
  </w:num>
  <w:num w:numId="41">
    <w:abstractNumId w:val="34"/>
  </w:num>
  <w:num w:numId="42">
    <w:abstractNumId w:val="19"/>
  </w:num>
  <w:num w:numId="43">
    <w:abstractNumId w:val="39"/>
  </w:num>
  <w:num w:numId="44">
    <w:abstractNumId w:val="38"/>
  </w:num>
  <w:num w:numId="45">
    <w:abstractNumId w:val="2"/>
  </w:num>
  <w:num w:numId="46">
    <w:abstractNumId w:val="15"/>
  </w:num>
  <w:num w:numId="47">
    <w:abstractNumId w:val="5"/>
  </w:num>
  <w:num w:numId="48">
    <w:abstractNumId w:val="2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E3"/>
    <w:rsid w:val="00013397"/>
    <w:rsid w:val="0002317E"/>
    <w:rsid w:val="000355EC"/>
    <w:rsid w:val="000412BD"/>
    <w:rsid w:val="000420CB"/>
    <w:rsid w:val="00047729"/>
    <w:rsid w:val="000542EA"/>
    <w:rsid w:val="0005456C"/>
    <w:rsid w:val="000570D2"/>
    <w:rsid w:val="00060BCA"/>
    <w:rsid w:val="00061C5E"/>
    <w:rsid w:val="0006425D"/>
    <w:rsid w:val="00074B61"/>
    <w:rsid w:val="00074EBE"/>
    <w:rsid w:val="00077B9D"/>
    <w:rsid w:val="00081C37"/>
    <w:rsid w:val="00083ADD"/>
    <w:rsid w:val="0009352D"/>
    <w:rsid w:val="000A28A3"/>
    <w:rsid w:val="000C10BD"/>
    <w:rsid w:val="000C53BF"/>
    <w:rsid w:val="000D14CB"/>
    <w:rsid w:val="000D6B57"/>
    <w:rsid w:val="000E03AD"/>
    <w:rsid w:val="000F319B"/>
    <w:rsid w:val="000F558F"/>
    <w:rsid w:val="000F595D"/>
    <w:rsid w:val="000F6B5B"/>
    <w:rsid w:val="00110268"/>
    <w:rsid w:val="0012123D"/>
    <w:rsid w:val="001309B9"/>
    <w:rsid w:val="0013373A"/>
    <w:rsid w:val="00160E93"/>
    <w:rsid w:val="00172FAD"/>
    <w:rsid w:val="00193122"/>
    <w:rsid w:val="001C20FD"/>
    <w:rsid w:val="001D11A0"/>
    <w:rsid w:val="001E22E1"/>
    <w:rsid w:val="001E4A85"/>
    <w:rsid w:val="001E7295"/>
    <w:rsid w:val="0020438E"/>
    <w:rsid w:val="00204808"/>
    <w:rsid w:val="002140B8"/>
    <w:rsid w:val="00216EA9"/>
    <w:rsid w:val="00220661"/>
    <w:rsid w:val="002307D2"/>
    <w:rsid w:val="0023429D"/>
    <w:rsid w:val="002456C3"/>
    <w:rsid w:val="00255E04"/>
    <w:rsid w:val="0026291D"/>
    <w:rsid w:val="002635BE"/>
    <w:rsid w:val="00265E8D"/>
    <w:rsid w:val="00274866"/>
    <w:rsid w:val="0028081F"/>
    <w:rsid w:val="002838C7"/>
    <w:rsid w:val="002A4C7E"/>
    <w:rsid w:val="002B08AD"/>
    <w:rsid w:val="002B74D9"/>
    <w:rsid w:val="002C2592"/>
    <w:rsid w:val="002D2984"/>
    <w:rsid w:val="002E6E53"/>
    <w:rsid w:val="002F253E"/>
    <w:rsid w:val="002F7CD7"/>
    <w:rsid w:val="003048A1"/>
    <w:rsid w:val="00311CCF"/>
    <w:rsid w:val="003142C1"/>
    <w:rsid w:val="003160FF"/>
    <w:rsid w:val="00322D02"/>
    <w:rsid w:val="00331E0D"/>
    <w:rsid w:val="00332AC1"/>
    <w:rsid w:val="003367AA"/>
    <w:rsid w:val="003403DE"/>
    <w:rsid w:val="00344A1F"/>
    <w:rsid w:val="00346B13"/>
    <w:rsid w:val="003519AB"/>
    <w:rsid w:val="00364518"/>
    <w:rsid w:val="00366537"/>
    <w:rsid w:val="00371EE8"/>
    <w:rsid w:val="00376612"/>
    <w:rsid w:val="00377C28"/>
    <w:rsid w:val="003813CD"/>
    <w:rsid w:val="0038528C"/>
    <w:rsid w:val="00387BE3"/>
    <w:rsid w:val="00387EC8"/>
    <w:rsid w:val="003A38B0"/>
    <w:rsid w:val="003C20E8"/>
    <w:rsid w:val="003D71B3"/>
    <w:rsid w:val="003E2151"/>
    <w:rsid w:val="003F5D6C"/>
    <w:rsid w:val="00404CBE"/>
    <w:rsid w:val="004127E5"/>
    <w:rsid w:val="00432777"/>
    <w:rsid w:val="004376FE"/>
    <w:rsid w:val="0044032F"/>
    <w:rsid w:val="00463F07"/>
    <w:rsid w:val="00470DEC"/>
    <w:rsid w:val="004721DA"/>
    <w:rsid w:val="00472CEF"/>
    <w:rsid w:val="00476616"/>
    <w:rsid w:val="004844D6"/>
    <w:rsid w:val="004A3541"/>
    <w:rsid w:val="004A427B"/>
    <w:rsid w:val="004A6DF9"/>
    <w:rsid w:val="004B0841"/>
    <w:rsid w:val="004B59B4"/>
    <w:rsid w:val="004C1B9B"/>
    <w:rsid w:val="004C7410"/>
    <w:rsid w:val="004E62F5"/>
    <w:rsid w:val="005028D9"/>
    <w:rsid w:val="005077BF"/>
    <w:rsid w:val="005142C7"/>
    <w:rsid w:val="00531032"/>
    <w:rsid w:val="0055372B"/>
    <w:rsid w:val="005602E6"/>
    <w:rsid w:val="005727B4"/>
    <w:rsid w:val="00576A24"/>
    <w:rsid w:val="00587045"/>
    <w:rsid w:val="0058732F"/>
    <w:rsid w:val="005C240C"/>
    <w:rsid w:val="005D01AE"/>
    <w:rsid w:val="005D5BB9"/>
    <w:rsid w:val="005F4792"/>
    <w:rsid w:val="00605AF2"/>
    <w:rsid w:val="00611ABD"/>
    <w:rsid w:val="00624CC7"/>
    <w:rsid w:val="00635408"/>
    <w:rsid w:val="00640375"/>
    <w:rsid w:val="00645619"/>
    <w:rsid w:val="006534F7"/>
    <w:rsid w:val="00654D45"/>
    <w:rsid w:val="00656E5F"/>
    <w:rsid w:val="006576E7"/>
    <w:rsid w:val="00663820"/>
    <w:rsid w:val="0066475F"/>
    <w:rsid w:val="00664EC3"/>
    <w:rsid w:val="0067160C"/>
    <w:rsid w:val="00683E13"/>
    <w:rsid w:val="0068437E"/>
    <w:rsid w:val="006962FD"/>
    <w:rsid w:val="006A6894"/>
    <w:rsid w:val="006B1D25"/>
    <w:rsid w:val="006C01FB"/>
    <w:rsid w:val="006C447A"/>
    <w:rsid w:val="006D5071"/>
    <w:rsid w:val="006D7EBA"/>
    <w:rsid w:val="00701181"/>
    <w:rsid w:val="007104D4"/>
    <w:rsid w:val="0073702D"/>
    <w:rsid w:val="00741D81"/>
    <w:rsid w:val="007430A8"/>
    <w:rsid w:val="007431F5"/>
    <w:rsid w:val="0075512C"/>
    <w:rsid w:val="00755EE8"/>
    <w:rsid w:val="00764E6B"/>
    <w:rsid w:val="00766337"/>
    <w:rsid w:val="007667F1"/>
    <w:rsid w:val="00771F0F"/>
    <w:rsid w:val="00777687"/>
    <w:rsid w:val="007815A5"/>
    <w:rsid w:val="00782817"/>
    <w:rsid w:val="00792B69"/>
    <w:rsid w:val="00794236"/>
    <w:rsid w:val="007979B5"/>
    <w:rsid w:val="007A0831"/>
    <w:rsid w:val="007A3ADE"/>
    <w:rsid w:val="007C3B67"/>
    <w:rsid w:val="007D409B"/>
    <w:rsid w:val="007D5978"/>
    <w:rsid w:val="007D5B16"/>
    <w:rsid w:val="007E1413"/>
    <w:rsid w:val="007E3D08"/>
    <w:rsid w:val="007E5686"/>
    <w:rsid w:val="008069D7"/>
    <w:rsid w:val="00810473"/>
    <w:rsid w:val="00812366"/>
    <w:rsid w:val="0082117C"/>
    <w:rsid w:val="00821599"/>
    <w:rsid w:val="008230D2"/>
    <w:rsid w:val="00832659"/>
    <w:rsid w:val="00835C4E"/>
    <w:rsid w:val="00840BC4"/>
    <w:rsid w:val="00850DD6"/>
    <w:rsid w:val="008514F8"/>
    <w:rsid w:val="008604AF"/>
    <w:rsid w:val="00860C02"/>
    <w:rsid w:val="00867FB3"/>
    <w:rsid w:val="00873095"/>
    <w:rsid w:val="00877CE9"/>
    <w:rsid w:val="00896675"/>
    <w:rsid w:val="008A24C8"/>
    <w:rsid w:val="008B00BF"/>
    <w:rsid w:val="008B122A"/>
    <w:rsid w:val="008C49CD"/>
    <w:rsid w:val="008C555E"/>
    <w:rsid w:val="008C6CAD"/>
    <w:rsid w:val="008D7066"/>
    <w:rsid w:val="008E3140"/>
    <w:rsid w:val="008E70F9"/>
    <w:rsid w:val="008F7D78"/>
    <w:rsid w:val="00906E78"/>
    <w:rsid w:val="00906FE7"/>
    <w:rsid w:val="00916976"/>
    <w:rsid w:val="009332BA"/>
    <w:rsid w:val="009369E0"/>
    <w:rsid w:val="00937B2B"/>
    <w:rsid w:val="00941C90"/>
    <w:rsid w:val="009428A9"/>
    <w:rsid w:val="00943154"/>
    <w:rsid w:val="00955160"/>
    <w:rsid w:val="009608B7"/>
    <w:rsid w:val="00963936"/>
    <w:rsid w:val="009712A8"/>
    <w:rsid w:val="0098523A"/>
    <w:rsid w:val="00987D6B"/>
    <w:rsid w:val="00992D9D"/>
    <w:rsid w:val="00996528"/>
    <w:rsid w:val="009A0FB3"/>
    <w:rsid w:val="009A3A70"/>
    <w:rsid w:val="009B0ECD"/>
    <w:rsid w:val="009B6C35"/>
    <w:rsid w:val="009B7F86"/>
    <w:rsid w:val="009C3D3A"/>
    <w:rsid w:val="009E112F"/>
    <w:rsid w:val="009E5238"/>
    <w:rsid w:val="009E5967"/>
    <w:rsid w:val="009F25DB"/>
    <w:rsid w:val="009F34FF"/>
    <w:rsid w:val="009F3F54"/>
    <w:rsid w:val="009F61DF"/>
    <w:rsid w:val="00A01E92"/>
    <w:rsid w:val="00A05A90"/>
    <w:rsid w:val="00A06D5A"/>
    <w:rsid w:val="00A10FAF"/>
    <w:rsid w:val="00A27131"/>
    <w:rsid w:val="00A4027E"/>
    <w:rsid w:val="00A41A86"/>
    <w:rsid w:val="00A51666"/>
    <w:rsid w:val="00A52EC5"/>
    <w:rsid w:val="00A53E55"/>
    <w:rsid w:val="00A56008"/>
    <w:rsid w:val="00A61D50"/>
    <w:rsid w:val="00A64F4A"/>
    <w:rsid w:val="00A64FFF"/>
    <w:rsid w:val="00A9317E"/>
    <w:rsid w:val="00AA180F"/>
    <w:rsid w:val="00AA4725"/>
    <w:rsid w:val="00AC6E3F"/>
    <w:rsid w:val="00AD7C02"/>
    <w:rsid w:val="00AE02FA"/>
    <w:rsid w:val="00AE1779"/>
    <w:rsid w:val="00AE21DC"/>
    <w:rsid w:val="00AF717D"/>
    <w:rsid w:val="00B02468"/>
    <w:rsid w:val="00B024C9"/>
    <w:rsid w:val="00B1585D"/>
    <w:rsid w:val="00B3633E"/>
    <w:rsid w:val="00B43335"/>
    <w:rsid w:val="00B43437"/>
    <w:rsid w:val="00B476E8"/>
    <w:rsid w:val="00B52B2A"/>
    <w:rsid w:val="00B67A7E"/>
    <w:rsid w:val="00B73B33"/>
    <w:rsid w:val="00BA363B"/>
    <w:rsid w:val="00BA7F20"/>
    <w:rsid w:val="00BC2132"/>
    <w:rsid w:val="00BC55DE"/>
    <w:rsid w:val="00BE6852"/>
    <w:rsid w:val="00BF0DFC"/>
    <w:rsid w:val="00BF5E7D"/>
    <w:rsid w:val="00C07410"/>
    <w:rsid w:val="00C168AD"/>
    <w:rsid w:val="00C65E46"/>
    <w:rsid w:val="00C66526"/>
    <w:rsid w:val="00C771C3"/>
    <w:rsid w:val="00C7782F"/>
    <w:rsid w:val="00C87970"/>
    <w:rsid w:val="00C905E9"/>
    <w:rsid w:val="00CA1D4A"/>
    <w:rsid w:val="00CA40EE"/>
    <w:rsid w:val="00CA4B13"/>
    <w:rsid w:val="00CB351F"/>
    <w:rsid w:val="00CB3DD3"/>
    <w:rsid w:val="00CB4054"/>
    <w:rsid w:val="00CB6E8F"/>
    <w:rsid w:val="00CC3492"/>
    <w:rsid w:val="00CC5402"/>
    <w:rsid w:val="00CC7688"/>
    <w:rsid w:val="00CD5C6A"/>
    <w:rsid w:val="00CE212C"/>
    <w:rsid w:val="00CE2251"/>
    <w:rsid w:val="00CF3E90"/>
    <w:rsid w:val="00CF7E05"/>
    <w:rsid w:val="00D036A5"/>
    <w:rsid w:val="00D166DE"/>
    <w:rsid w:val="00D20FB3"/>
    <w:rsid w:val="00D216E7"/>
    <w:rsid w:val="00D2482C"/>
    <w:rsid w:val="00D4298F"/>
    <w:rsid w:val="00D55D0F"/>
    <w:rsid w:val="00D57F47"/>
    <w:rsid w:val="00D72AC0"/>
    <w:rsid w:val="00D80305"/>
    <w:rsid w:val="00D96AE7"/>
    <w:rsid w:val="00D974B1"/>
    <w:rsid w:val="00DA4117"/>
    <w:rsid w:val="00DB5DE3"/>
    <w:rsid w:val="00DC09E6"/>
    <w:rsid w:val="00DC1C4A"/>
    <w:rsid w:val="00DD73A0"/>
    <w:rsid w:val="00DF07D4"/>
    <w:rsid w:val="00DF61E0"/>
    <w:rsid w:val="00DF7074"/>
    <w:rsid w:val="00E129FD"/>
    <w:rsid w:val="00E16C52"/>
    <w:rsid w:val="00E278D9"/>
    <w:rsid w:val="00E52C4B"/>
    <w:rsid w:val="00E554D3"/>
    <w:rsid w:val="00E62A8D"/>
    <w:rsid w:val="00E6483C"/>
    <w:rsid w:val="00E6676D"/>
    <w:rsid w:val="00E67E55"/>
    <w:rsid w:val="00E73D40"/>
    <w:rsid w:val="00E75025"/>
    <w:rsid w:val="00E77814"/>
    <w:rsid w:val="00E8017D"/>
    <w:rsid w:val="00E866E6"/>
    <w:rsid w:val="00E86B25"/>
    <w:rsid w:val="00EA1D55"/>
    <w:rsid w:val="00EB284C"/>
    <w:rsid w:val="00EF37E4"/>
    <w:rsid w:val="00F04571"/>
    <w:rsid w:val="00F1236C"/>
    <w:rsid w:val="00F13987"/>
    <w:rsid w:val="00F26360"/>
    <w:rsid w:val="00F37E29"/>
    <w:rsid w:val="00F41E34"/>
    <w:rsid w:val="00F5453A"/>
    <w:rsid w:val="00F54AF2"/>
    <w:rsid w:val="00F62025"/>
    <w:rsid w:val="00F6377D"/>
    <w:rsid w:val="00F63A2B"/>
    <w:rsid w:val="00F66D6A"/>
    <w:rsid w:val="00F83AC8"/>
    <w:rsid w:val="00F83FB1"/>
    <w:rsid w:val="00F8602A"/>
    <w:rsid w:val="00F941FA"/>
    <w:rsid w:val="00FA641E"/>
    <w:rsid w:val="00FB329D"/>
    <w:rsid w:val="00FB3744"/>
    <w:rsid w:val="00FB455B"/>
    <w:rsid w:val="00FD0400"/>
    <w:rsid w:val="00FD77FE"/>
    <w:rsid w:val="00FF2CC5"/>
    <w:rsid w:val="00FF6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A866E"/>
  <w15:chartTrackingRefBased/>
  <w15:docId w15:val="{3BE6F58E-A837-4B32-8E02-1C596C8E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F8602A"/>
    <w:pPr>
      <w:keepNext/>
      <w:outlineLvl w:val="1"/>
    </w:pPr>
    <w:rPr>
      <w:b/>
    </w:rPr>
  </w:style>
  <w:style w:type="paragraph" w:styleId="Heading3">
    <w:name w:val="heading 3"/>
    <w:basedOn w:val="Normal"/>
    <w:next w:val="Normal"/>
    <w:qFormat/>
    <w:pPr>
      <w:keepNext/>
      <w:spacing w:after="80"/>
      <w:ind w:right="567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70F9"/>
    <w:pPr>
      <w:tabs>
        <w:tab w:val="center" w:pos="4320"/>
        <w:tab w:val="right" w:pos="8640"/>
      </w:tabs>
    </w:pPr>
  </w:style>
  <w:style w:type="paragraph" w:styleId="Footer">
    <w:name w:val="footer"/>
    <w:basedOn w:val="Normal"/>
    <w:link w:val="FooterChar"/>
    <w:uiPriority w:val="99"/>
    <w:rsid w:val="008E70F9"/>
    <w:pPr>
      <w:tabs>
        <w:tab w:val="center" w:pos="4320"/>
        <w:tab w:val="right" w:pos="8640"/>
      </w:tabs>
    </w:pPr>
    <w:rPr>
      <w:lang w:val="x-none"/>
    </w:rPr>
  </w:style>
  <w:style w:type="paragraph" w:styleId="Title">
    <w:name w:val="Title"/>
    <w:basedOn w:val="Normal"/>
    <w:next w:val="Normal"/>
    <w:link w:val="TitleChar"/>
    <w:uiPriority w:val="10"/>
    <w:qFormat/>
    <w:rsid w:val="0044032F"/>
    <w:pPr>
      <w:pBdr>
        <w:bottom w:val="single" w:sz="8" w:space="4" w:color="459CBD"/>
      </w:pBdr>
      <w:spacing w:after="300"/>
      <w:contextualSpacing/>
    </w:pPr>
    <w:rPr>
      <w:rFonts w:eastAsia="MS Gothic"/>
      <w:color w:val="004359"/>
      <w:spacing w:val="5"/>
      <w:kern w:val="28"/>
      <w:sz w:val="56"/>
      <w:szCs w:val="52"/>
      <w:lang w:val="x-none"/>
    </w:rPr>
  </w:style>
  <w:style w:type="character" w:customStyle="1" w:styleId="TitleChar">
    <w:name w:val="Title Char"/>
    <w:link w:val="Title"/>
    <w:uiPriority w:val="10"/>
    <w:rsid w:val="0044032F"/>
    <w:rPr>
      <w:rFonts w:ascii="Arial" w:eastAsia="MS Gothic" w:hAnsi="Arial"/>
      <w:color w:val="004359"/>
      <w:spacing w:val="5"/>
      <w:kern w:val="28"/>
      <w:sz w:val="56"/>
      <w:szCs w:val="52"/>
      <w:lang w:eastAsia="en-US"/>
    </w:rPr>
  </w:style>
  <w:style w:type="table" w:styleId="TableGrid">
    <w:name w:val="Table Grid"/>
    <w:basedOn w:val="TableNormal"/>
    <w:rsid w:val="0044032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4032F"/>
    <w:pPr>
      <w:numPr>
        <w:numId w:val="1"/>
      </w:numPr>
      <w:tabs>
        <w:tab w:val="num" w:pos="360"/>
      </w:tabs>
      <w:ind w:left="0" w:firstLine="0"/>
      <w:outlineLvl w:val="0"/>
    </w:pPr>
    <w:rPr>
      <w:rFonts w:eastAsia="Arial"/>
      <w:b/>
      <w:bCs/>
      <w:sz w:val="20"/>
    </w:rPr>
  </w:style>
  <w:style w:type="table" w:customStyle="1" w:styleId="UCL">
    <w:name w:val="UCL"/>
    <w:basedOn w:val="TableNormal"/>
    <w:uiPriority w:val="99"/>
    <w:rsid w:val="0044032F"/>
    <w:rPr>
      <w:rFonts w:ascii="Arial" w:eastAsia="Arial" w:hAnsi="Arial"/>
      <w:sz w:val="22"/>
      <w:szCs w:val="22"/>
      <w:lang w:eastAsia="en-US"/>
    </w:rPr>
    <w:tblPr>
      <w:tblBorders>
        <w:top w:val="single" w:sz="8" w:space="0" w:color="CAC2B8"/>
        <w:left w:val="single" w:sz="8" w:space="0" w:color="CAC2B8"/>
        <w:bottom w:val="single" w:sz="8" w:space="0" w:color="CAC2B8"/>
        <w:right w:val="single" w:sz="8" w:space="0" w:color="CAC2B8"/>
        <w:insideH w:val="single" w:sz="8" w:space="0" w:color="CAC2B8"/>
        <w:insideV w:val="single" w:sz="8" w:space="0" w:color="CAC2B8"/>
      </w:tblBorders>
    </w:tblPr>
    <w:tblStylePr w:type="firstRow">
      <w:pPr>
        <w:wordWrap/>
        <w:spacing w:beforeLines="0" w:before="0" w:beforeAutospacing="0" w:afterLines="0" w:after="0" w:afterAutospacing="0"/>
        <w:ind w:leftChars="0" w:left="0" w:rightChars="0" w:right="0" w:firstLineChars="0" w:firstLine="0"/>
        <w:jc w:val="left"/>
        <w:outlineLvl w:val="9"/>
      </w:pPr>
      <w:rPr>
        <w:rFonts w:ascii="Arial" w:hAnsi="Arial"/>
        <w:b w:val="0"/>
        <w:sz w:val="24"/>
      </w:rPr>
      <w:tblPr/>
      <w:tcPr>
        <w:tcBorders>
          <w:top w:val="single" w:sz="8" w:space="0" w:color="CAC2B8"/>
          <w:left w:val="single" w:sz="8" w:space="0" w:color="CAC2B8"/>
          <w:bottom w:val="single" w:sz="8" w:space="0" w:color="CAC2B8"/>
          <w:right w:val="single" w:sz="8" w:space="0" w:color="CAC2B8"/>
          <w:insideH w:val="single" w:sz="8" w:space="0" w:color="CAC2B8"/>
          <w:insideV w:val="single" w:sz="8" w:space="0" w:color="CAC2B8"/>
          <w:tl2br w:val="nil"/>
          <w:tr2bl w:val="nil"/>
        </w:tcBorders>
        <w:shd w:val="clear" w:color="auto" w:fill="CAC2B8"/>
      </w:tcPr>
    </w:tblStylePr>
    <w:tblStylePr w:type="firstCol">
      <w:rPr>
        <w:b/>
      </w:rPr>
    </w:tblStylePr>
  </w:style>
  <w:style w:type="paragraph" w:styleId="BalloonText">
    <w:name w:val="Balloon Text"/>
    <w:basedOn w:val="Normal"/>
    <w:link w:val="BalloonTextChar"/>
    <w:uiPriority w:val="99"/>
    <w:semiHidden/>
    <w:unhideWhenUsed/>
    <w:rsid w:val="0044032F"/>
    <w:rPr>
      <w:rFonts w:ascii="Tahoma" w:hAnsi="Tahoma"/>
      <w:sz w:val="16"/>
      <w:szCs w:val="16"/>
      <w:lang w:val="x-none"/>
    </w:rPr>
  </w:style>
  <w:style w:type="character" w:customStyle="1" w:styleId="BalloonTextChar">
    <w:name w:val="Balloon Text Char"/>
    <w:link w:val="BalloonText"/>
    <w:uiPriority w:val="99"/>
    <w:semiHidden/>
    <w:rsid w:val="0044032F"/>
    <w:rPr>
      <w:rFonts w:ascii="Tahoma" w:hAnsi="Tahoma" w:cs="Tahoma"/>
      <w:sz w:val="16"/>
      <w:szCs w:val="16"/>
      <w:lang w:eastAsia="en-US"/>
    </w:rPr>
  </w:style>
  <w:style w:type="character" w:customStyle="1" w:styleId="FooterChar">
    <w:name w:val="Footer Char"/>
    <w:link w:val="Footer"/>
    <w:uiPriority w:val="99"/>
    <w:rsid w:val="0044032F"/>
    <w:rPr>
      <w:rFonts w:ascii="Arial" w:hAnsi="Arial"/>
      <w:sz w:val="22"/>
      <w:szCs w:val="22"/>
      <w:lang w:eastAsia="en-US"/>
    </w:rPr>
  </w:style>
  <w:style w:type="character" w:styleId="CommentReference">
    <w:name w:val="annotation reference"/>
    <w:uiPriority w:val="99"/>
    <w:semiHidden/>
    <w:unhideWhenUsed/>
    <w:rsid w:val="000355EC"/>
    <w:rPr>
      <w:sz w:val="16"/>
      <w:szCs w:val="16"/>
    </w:rPr>
  </w:style>
  <w:style w:type="paragraph" w:styleId="CommentText">
    <w:name w:val="annotation text"/>
    <w:basedOn w:val="Normal"/>
    <w:link w:val="CommentTextChar"/>
    <w:uiPriority w:val="99"/>
    <w:semiHidden/>
    <w:unhideWhenUsed/>
    <w:rsid w:val="000355EC"/>
    <w:rPr>
      <w:sz w:val="20"/>
      <w:szCs w:val="20"/>
      <w:lang w:val="x-none"/>
    </w:rPr>
  </w:style>
  <w:style w:type="character" w:customStyle="1" w:styleId="CommentTextChar">
    <w:name w:val="Comment Text Char"/>
    <w:link w:val="CommentText"/>
    <w:uiPriority w:val="99"/>
    <w:semiHidden/>
    <w:rsid w:val="000355E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355EC"/>
    <w:rPr>
      <w:b/>
      <w:bCs/>
    </w:rPr>
  </w:style>
  <w:style w:type="character" w:customStyle="1" w:styleId="CommentSubjectChar">
    <w:name w:val="Comment Subject Char"/>
    <w:link w:val="CommentSubject"/>
    <w:uiPriority w:val="99"/>
    <w:semiHidden/>
    <w:rsid w:val="000355EC"/>
    <w:rPr>
      <w:rFonts w:ascii="Arial" w:hAnsi="Arial"/>
      <w:b/>
      <w:bCs/>
      <w:lang w:eastAsia="en-US"/>
    </w:rPr>
  </w:style>
  <w:style w:type="paragraph" w:styleId="FootnoteText">
    <w:name w:val="footnote text"/>
    <w:basedOn w:val="Normal"/>
    <w:link w:val="FootnoteTextChar"/>
    <w:uiPriority w:val="99"/>
    <w:semiHidden/>
    <w:unhideWhenUsed/>
    <w:rsid w:val="00821599"/>
    <w:rPr>
      <w:sz w:val="20"/>
      <w:szCs w:val="20"/>
    </w:rPr>
  </w:style>
  <w:style w:type="character" w:customStyle="1" w:styleId="FootnoteTextChar">
    <w:name w:val="Footnote Text Char"/>
    <w:link w:val="FootnoteText"/>
    <w:uiPriority w:val="99"/>
    <w:semiHidden/>
    <w:rsid w:val="00821599"/>
    <w:rPr>
      <w:rFonts w:ascii="Arial" w:hAnsi="Arial"/>
      <w:lang w:eastAsia="en-US"/>
    </w:rPr>
  </w:style>
  <w:style w:type="character" w:styleId="FootnoteReference">
    <w:name w:val="footnote reference"/>
    <w:uiPriority w:val="99"/>
    <w:semiHidden/>
    <w:unhideWhenUsed/>
    <w:rsid w:val="00821599"/>
    <w:rPr>
      <w:vertAlign w:val="superscript"/>
    </w:rPr>
  </w:style>
  <w:style w:type="paragraph" w:customStyle="1" w:styleId="Heading10">
    <w:name w:val="Heading1.0"/>
    <w:basedOn w:val="Heading2"/>
    <w:link w:val="Heading10Char"/>
    <w:autoRedefine/>
    <w:qFormat/>
    <w:rsid w:val="00322D02"/>
    <w:pPr>
      <w:spacing w:before="120" w:after="120"/>
    </w:pPr>
  </w:style>
  <w:style w:type="paragraph" w:customStyle="1" w:styleId="Text11">
    <w:name w:val="Text1.1"/>
    <w:basedOn w:val="Normal"/>
    <w:link w:val="Text11Char"/>
    <w:qFormat/>
    <w:rsid w:val="00587045"/>
    <w:pPr>
      <w:numPr>
        <w:ilvl w:val="1"/>
        <w:numId w:val="4"/>
      </w:numPr>
      <w:tabs>
        <w:tab w:val="left" w:pos="1418"/>
        <w:tab w:val="left" w:pos="1843"/>
        <w:tab w:val="left" w:pos="3544"/>
        <w:tab w:val="left" w:pos="3969"/>
        <w:tab w:val="left" w:pos="6237"/>
        <w:tab w:val="left" w:pos="6663"/>
      </w:tabs>
      <w:ind w:right="567"/>
    </w:pPr>
    <w:rPr>
      <w:sz w:val="20"/>
    </w:rPr>
  </w:style>
  <w:style w:type="character" w:customStyle="1" w:styleId="Heading2Char">
    <w:name w:val="Heading 2 Char"/>
    <w:link w:val="Heading2"/>
    <w:rsid w:val="00F8602A"/>
    <w:rPr>
      <w:rFonts w:ascii="Arial" w:hAnsi="Arial"/>
      <w:b/>
      <w:sz w:val="22"/>
      <w:szCs w:val="22"/>
      <w:lang w:eastAsia="en-US"/>
    </w:rPr>
  </w:style>
  <w:style w:type="character" w:customStyle="1" w:styleId="Heading10Char">
    <w:name w:val="Heading1.0 Char"/>
    <w:basedOn w:val="Heading2Char"/>
    <w:link w:val="Heading10"/>
    <w:rsid w:val="00322D02"/>
    <w:rPr>
      <w:rFonts w:ascii="Arial" w:hAnsi="Arial"/>
      <w:b/>
      <w:sz w:val="22"/>
      <w:szCs w:val="22"/>
      <w:lang w:eastAsia="en-US"/>
    </w:rPr>
  </w:style>
  <w:style w:type="paragraph" w:customStyle="1" w:styleId="Text12">
    <w:name w:val="Text1.2"/>
    <w:basedOn w:val="Heading10"/>
    <w:link w:val="Text12Char"/>
    <w:qFormat/>
    <w:rsid w:val="00587045"/>
    <w:pPr>
      <w:numPr>
        <w:ilvl w:val="1"/>
        <w:numId w:val="3"/>
      </w:numPr>
    </w:pPr>
    <w:rPr>
      <w:b w:val="0"/>
    </w:rPr>
  </w:style>
  <w:style w:type="character" w:customStyle="1" w:styleId="Text11Char">
    <w:name w:val="Text1.1 Char"/>
    <w:link w:val="Text11"/>
    <w:rsid w:val="00587045"/>
    <w:rPr>
      <w:rFonts w:ascii="Arial" w:hAnsi="Arial"/>
      <w:szCs w:val="22"/>
      <w:lang w:eastAsia="en-US"/>
    </w:rPr>
  </w:style>
  <w:style w:type="paragraph" w:styleId="Revision">
    <w:name w:val="Revision"/>
    <w:hidden/>
    <w:uiPriority w:val="99"/>
    <w:semiHidden/>
    <w:rsid w:val="007D409B"/>
    <w:rPr>
      <w:rFonts w:ascii="Arial" w:hAnsi="Arial"/>
      <w:sz w:val="22"/>
      <w:szCs w:val="22"/>
      <w:lang w:eastAsia="en-US"/>
    </w:rPr>
  </w:style>
  <w:style w:type="character" w:customStyle="1" w:styleId="Text12Char">
    <w:name w:val="Text1.2 Char"/>
    <w:link w:val="Text12"/>
    <w:rsid w:val="00587045"/>
    <w:rPr>
      <w:rFonts w:ascii="Arial" w:hAnsi="Arial"/>
      <w:sz w:val="22"/>
      <w:szCs w:val="22"/>
      <w:lang w:eastAsia="en-US"/>
    </w:rPr>
  </w:style>
  <w:style w:type="paragraph" w:customStyle="1" w:styleId="Default">
    <w:name w:val="Default"/>
    <w:rsid w:val="00FF6766"/>
    <w:pPr>
      <w:autoSpaceDE w:val="0"/>
      <w:autoSpaceDN w:val="0"/>
      <w:adjustRightInd w:val="0"/>
    </w:pPr>
    <w:rPr>
      <w:rFonts w:ascii="Arial" w:eastAsia="Times New Roman" w:hAnsi="Arial" w:cs="Arial"/>
      <w:color w:val="000000"/>
      <w:sz w:val="24"/>
      <w:szCs w:val="24"/>
      <w:lang w:bidi="th-TH"/>
    </w:rPr>
  </w:style>
  <w:style w:type="paragraph" w:styleId="EndnoteText">
    <w:name w:val="endnote text"/>
    <w:basedOn w:val="Normal"/>
    <w:link w:val="EndnoteTextChar"/>
    <w:uiPriority w:val="99"/>
    <w:semiHidden/>
    <w:unhideWhenUsed/>
    <w:rsid w:val="00B43335"/>
    <w:rPr>
      <w:sz w:val="20"/>
      <w:szCs w:val="20"/>
    </w:rPr>
  </w:style>
  <w:style w:type="character" w:customStyle="1" w:styleId="EndnoteTextChar">
    <w:name w:val="Endnote Text Char"/>
    <w:link w:val="EndnoteText"/>
    <w:uiPriority w:val="99"/>
    <w:semiHidden/>
    <w:rsid w:val="00B43335"/>
    <w:rPr>
      <w:rFonts w:ascii="Arial" w:hAnsi="Arial"/>
      <w:lang w:eastAsia="en-US"/>
    </w:rPr>
  </w:style>
  <w:style w:type="character" w:styleId="EndnoteReference">
    <w:name w:val="endnote reference"/>
    <w:uiPriority w:val="99"/>
    <w:semiHidden/>
    <w:unhideWhenUsed/>
    <w:rsid w:val="00B43335"/>
    <w:rPr>
      <w:vertAlign w:val="superscript"/>
    </w:rPr>
  </w:style>
  <w:style w:type="character" w:styleId="Hyperlink">
    <w:name w:val="Hyperlink"/>
    <w:uiPriority w:val="99"/>
    <w:unhideWhenUsed/>
    <w:rsid w:val="00F37E29"/>
    <w:rPr>
      <w:color w:val="0000FF"/>
      <w:u w:val="single"/>
    </w:rPr>
  </w:style>
  <w:style w:type="character" w:styleId="FollowedHyperlink">
    <w:name w:val="FollowedHyperlink"/>
    <w:uiPriority w:val="99"/>
    <w:semiHidden/>
    <w:unhideWhenUsed/>
    <w:rsid w:val="00F37E29"/>
    <w:rPr>
      <w:color w:val="800080"/>
      <w:u w:val="single"/>
    </w:rPr>
  </w:style>
  <w:style w:type="paragraph" w:styleId="Subtitle">
    <w:name w:val="Subtitle"/>
    <w:basedOn w:val="Normal"/>
    <w:link w:val="SubtitleChar"/>
    <w:uiPriority w:val="99"/>
    <w:qFormat/>
    <w:rsid w:val="00077B9D"/>
    <w:pPr>
      <w:autoSpaceDE w:val="0"/>
      <w:autoSpaceDN w:val="0"/>
      <w:jc w:val="center"/>
    </w:pPr>
    <w:rPr>
      <w:rFonts w:ascii="Arial,Bold" w:eastAsia="Times New Roman" w:hAnsi="Arial,Bold" w:cs="Arial,Bold"/>
      <w:b/>
      <w:bCs/>
      <w:color w:val="000000"/>
      <w:sz w:val="24"/>
      <w:szCs w:val="24"/>
      <w:lang w:val="en-US" w:eastAsia="en-GB"/>
    </w:rPr>
  </w:style>
  <w:style w:type="character" w:customStyle="1" w:styleId="SubtitleChar">
    <w:name w:val="Subtitle Char"/>
    <w:link w:val="Subtitle"/>
    <w:uiPriority w:val="99"/>
    <w:rsid w:val="00077B9D"/>
    <w:rPr>
      <w:rFonts w:ascii="Arial,Bold" w:eastAsia="Times New Roman" w:hAnsi="Arial,Bold" w:cs="Arial,Bold"/>
      <w:b/>
      <w:bCs/>
      <w:color w:val="000000"/>
      <w:sz w:val="24"/>
      <w:szCs w:val="24"/>
      <w:lang w:val="en-US"/>
    </w:rPr>
  </w:style>
  <w:style w:type="paragraph" w:styleId="BodyText">
    <w:name w:val="Body Text"/>
    <w:basedOn w:val="Normal"/>
    <w:link w:val="BodyTextChar"/>
    <w:uiPriority w:val="99"/>
    <w:rsid w:val="00322D02"/>
    <w:pPr>
      <w:autoSpaceDE w:val="0"/>
      <w:autoSpaceDN w:val="0"/>
    </w:pPr>
    <w:rPr>
      <w:rFonts w:eastAsia="Times New Roman" w:cs="Arial"/>
      <w:sz w:val="20"/>
      <w:szCs w:val="20"/>
      <w:lang w:eastAsia="en-GB"/>
    </w:rPr>
  </w:style>
  <w:style w:type="character" w:customStyle="1" w:styleId="BodyTextChar">
    <w:name w:val="Body Text Char"/>
    <w:link w:val="BodyText"/>
    <w:uiPriority w:val="99"/>
    <w:rsid w:val="00322D02"/>
    <w:rPr>
      <w:rFonts w:ascii="Arial" w:eastAsia="Times New Roman" w:hAnsi="Arial" w:cs="Arial"/>
    </w:rPr>
  </w:style>
  <w:style w:type="character" w:customStyle="1" w:styleId="HeaderChar">
    <w:name w:val="Header Char"/>
    <w:link w:val="Header"/>
    <w:uiPriority w:val="99"/>
    <w:rsid w:val="00322D02"/>
    <w:rPr>
      <w:rFonts w:ascii="Arial" w:hAnsi="Arial"/>
      <w:sz w:val="22"/>
      <w:szCs w:val="22"/>
      <w:lang w:eastAsia="en-US"/>
    </w:rPr>
  </w:style>
  <w:style w:type="paragraph" w:styleId="ListBullet4">
    <w:name w:val="List Bullet 4"/>
    <w:basedOn w:val="Normal"/>
    <w:autoRedefine/>
    <w:uiPriority w:val="99"/>
    <w:rsid w:val="00322D02"/>
    <w:pPr>
      <w:jc w:val="both"/>
    </w:pPr>
    <w:rPr>
      <w:rFonts w:eastAsia="Times New Roman" w:cs="Arial"/>
      <w:lang w:eastAsia="en-GB"/>
    </w:rPr>
  </w:style>
  <w:style w:type="character" w:styleId="Strong">
    <w:name w:val="Strong"/>
    <w:uiPriority w:val="99"/>
    <w:qFormat/>
    <w:rsid w:val="00322D02"/>
    <w:rPr>
      <w:b/>
      <w:bCs/>
    </w:rPr>
  </w:style>
  <w:style w:type="paragraph" w:styleId="NormalWeb">
    <w:name w:val="Normal (Web)"/>
    <w:basedOn w:val="Normal"/>
    <w:uiPriority w:val="99"/>
    <w:unhideWhenUsed/>
    <w:rsid w:val="007979B5"/>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uiPriority w:val="99"/>
    <w:semiHidden/>
    <w:unhideWhenUsed/>
    <w:rsid w:val="004376FE"/>
    <w:rPr>
      <w:color w:val="605E5C"/>
      <w:shd w:val="clear" w:color="auto" w:fill="E1DFDD"/>
    </w:rPr>
  </w:style>
  <w:style w:type="paragraph" w:styleId="ListParagraph">
    <w:name w:val="List Paragraph"/>
    <w:basedOn w:val="Normal"/>
    <w:uiPriority w:val="34"/>
    <w:qFormat/>
    <w:rsid w:val="00860C02"/>
    <w:pPr>
      <w:ind w:left="720"/>
      <w:contextualSpacing/>
    </w:pPr>
  </w:style>
  <w:style w:type="paragraph" w:styleId="TOCHeading">
    <w:name w:val="TOC Heading"/>
    <w:basedOn w:val="Heading1"/>
    <w:next w:val="Normal"/>
    <w:uiPriority w:val="39"/>
    <w:unhideWhenUsed/>
    <w:qFormat/>
    <w:rsid w:val="00E62A8D"/>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E62A8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532506">
      <w:bodyDiv w:val="1"/>
      <w:marLeft w:val="0"/>
      <w:marRight w:val="0"/>
      <w:marTop w:val="0"/>
      <w:marBottom w:val="0"/>
      <w:divBdr>
        <w:top w:val="none" w:sz="0" w:space="0" w:color="auto"/>
        <w:left w:val="none" w:sz="0" w:space="0" w:color="auto"/>
        <w:bottom w:val="none" w:sz="0" w:space="0" w:color="auto"/>
        <w:right w:val="none" w:sz="0" w:space="0" w:color="auto"/>
      </w:divBdr>
    </w:div>
    <w:div w:id="18727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cyosjg\Local%20Settings\Temporary%20Internet%20Files\OLK20\Agenda_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D336-B807-417B-A087-C7CCA4C9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Agenda_minutes1</Template>
  <TotalTime>513</TotalTime>
  <Pages>7</Pages>
  <Words>1443</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SGUL-IG15 Incident Reporting Procedure v0.1</vt:lpstr>
    </vt:vector>
  </TitlesOfParts>
  <Manager>shmurphy@sgul.ac.uk</Manager>
  <Company>SMCHMK</Company>
  <LinksUpToDate>false</LinksUpToDate>
  <CharactersWithSpaces>10323</CharactersWithSpaces>
  <SharedDoc>false</SharedDoc>
  <HLinks>
    <vt:vector size="36" baseType="variant">
      <vt:variant>
        <vt:i4>4718661</vt:i4>
      </vt:variant>
      <vt:variant>
        <vt:i4>15</vt:i4>
      </vt:variant>
      <vt:variant>
        <vt:i4>0</vt:i4>
      </vt:variant>
      <vt:variant>
        <vt:i4>5</vt:i4>
      </vt:variant>
      <vt:variant>
        <vt:lpwstr>https://ico.org.uk/for-organisations/guide-to-freedom-of-information/complaints/</vt:lpwstr>
      </vt:variant>
      <vt:variant>
        <vt:lpwstr/>
      </vt:variant>
      <vt:variant>
        <vt:i4>1835051</vt:i4>
      </vt:variant>
      <vt:variant>
        <vt:i4>12</vt:i4>
      </vt:variant>
      <vt:variant>
        <vt:i4>0</vt:i4>
      </vt:variant>
      <vt:variant>
        <vt:i4>5</vt:i4>
      </vt:variant>
      <vt:variant>
        <vt:lpwstr>mailto:mail@ico.gsi.gov.uk</vt:lpwstr>
      </vt:variant>
      <vt:variant>
        <vt:lpwstr/>
      </vt:variant>
      <vt:variant>
        <vt:i4>2818064</vt:i4>
      </vt:variant>
      <vt:variant>
        <vt:i4>9</vt:i4>
      </vt:variant>
      <vt:variant>
        <vt:i4>0</vt:i4>
      </vt:variant>
      <vt:variant>
        <vt:i4>5</vt:i4>
      </vt:variant>
      <vt:variant>
        <vt:lpwstr>mailto:Paul.Ratcliffe@sgul.ac.uk</vt:lpwstr>
      </vt:variant>
      <vt:variant>
        <vt:lpwstr/>
      </vt:variant>
      <vt:variant>
        <vt:i4>5439521</vt:i4>
      </vt:variant>
      <vt:variant>
        <vt:i4>6</vt:i4>
      </vt:variant>
      <vt:variant>
        <vt:i4>0</vt:i4>
      </vt:variant>
      <vt:variant>
        <vt:i4>5</vt:i4>
      </vt:variant>
      <vt:variant>
        <vt:lpwstr>mailto:FOI@sgul.ac.uk</vt:lpwstr>
      </vt:variant>
      <vt:variant>
        <vt:lpwstr/>
      </vt:variant>
      <vt:variant>
        <vt:i4>6029372</vt:i4>
      </vt:variant>
      <vt:variant>
        <vt:i4>3</vt:i4>
      </vt:variant>
      <vt:variant>
        <vt:i4>0</vt:i4>
      </vt:variant>
      <vt:variant>
        <vt:i4>5</vt:i4>
      </vt:variant>
      <vt:variant>
        <vt:lpwstr>mailto:mail@ico.org.uk</vt:lpwstr>
      </vt:variant>
      <vt:variant>
        <vt:lpwstr/>
      </vt:variant>
      <vt:variant>
        <vt:i4>4915280</vt:i4>
      </vt:variant>
      <vt:variant>
        <vt:i4>0</vt:i4>
      </vt:variant>
      <vt:variant>
        <vt:i4>0</vt:i4>
      </vt:variant>
      <vt:variant>
        <vt:i4>5</vt:i4>
      </vt:variant>
      <vt:variant>
        <vt:lpwstr>http://webarchive.nationalarchives.gov.uk/20150730125042/http://www.justice.gov.uk/information-access-rights/foi-guidance-for-practitioners/fees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Policy 2022</dc:title>
  <dc:subject>
  </dc:subject>
  <dc:creator>Shane Murphy</dc:creator>
  <cp:keywords>
  </cp:keywords>
  <cp:lastModifiedBy>Molly Raymer</cp:lastModifiedBy>
  <cp:revision>11</cp:revision>
  <cp:lastPrinted>2017-10-11T15:59:00Z</cp:lastPrinted>
  <dcterms:created xsi:type="dcterms:W3CDTF">2022-04-28T16:01:00Z</dcterms:created>
  <dcterms:modified xsi:type="dcterms:W3CDTF">2022-10-04T08:23:15Z</dcterms:modified>
  <cp:category>IG333</cp:category>
  <cp:contentStatus>DRAFT</cp:contentStatus>
</cp:coreProperties>
</file>