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A2" w:rsidRDefault="00FA60A2"/>
    <w:tbl>
      <w:tblPr>
        <w:tblStyle w:val="TableGrid"/>
        <w:tblW w:w="9356" w:type="dxa"/>
        <w:tblInd w:w="-459" w:type="dxa"/>
        <w:tblLook w:val="01E0" w:firstRow="1" w:lastRow="1" w:firstColumn="1" w:lastColumn="1" w:noHBand="0" w:noVBand="0"/>
      </w:tblPr>
      <w:tblGrid>
        <w:gridCol w:w="6096"/>
        <w:gridCol w:w="3260"/>
      </w:tblGrid>
      <w:tr w:rsidR="00DB68C7" w:rsidTr="00DB68C7">
        <w:trPr>
          <w:trHeight w:val="848"/>
        </w:trPr>
        <w:tc>
          <w:tcPr>
            <w:tcW w:w="6096" w:type="dxa"/>
          </w:tcPr>
          <w:p w:rsidR="00DB68C7" w:rsidP="0091127E" w:rsidRDefault="00DB68C7">
            <w:pPr>
              <w:rPr>
                <w:rFonts w:ascii="Arial" w:hAnsi="Arial" w:cs="Arial"/>
              </w:rPr>
            </w:pPr>
          </w:p>
          <w:p w:rsidRPr="00714824" w:rsidR="00714824" w:rsidP="00BD6A86" w:rsidRDefault="00714824">
            <w:pPr>
              <w:rPr>
                <w:rFonts w:ascii="Arial" w:hAnsi="Arial" w:cs="Arial"/>
              </w:rPr>
            </w:pPr>
            <w:r w:rsidRPr="00C6009F">
              <w:rPr>
                <w:rFonts w:ascii="Arial" w:hAnsi="Arial" w:cs="Arial"/>
                <w:sz w:val="20"/>
                <w:szCs w:val="20"/>
              </w:rPr>
              <w:t>SOP Title Reference:</w:t>
            </w:r>
            <w:r>
              <w:rPr>
                <w:rFonts w:ascii="Arial" w:hAnsi="Arial" w:cs="Arial"/>
                <w:sz w:val="20"/>
                <w:szCs w:val="20"/>
              </w:rPr>
              <w:t xml:space="preserve"> </w:t>
            </w:r>
            <w:r w:rsidR="00C3325B">
              <w:rPr>
                <w:rFonts w:ascii="Arial" w:hAnsi="Arial" w:cs="Arial"/>
                <w:b/>
              </w:rPr>
              <w:t xml:space="preserve">Archives </w:t>
            </w:r>
            <w:r w:rsidR="00BD6A86">
              <w:rPr>
                <w:rFonts w:ascii="Arial" w:hAnsi="Arial" w:cs="Arial"/>
                <w:b/>
              </w:rPr>
              <w:t xml:space="preserve">&amp; Special Collections </w:t>
            </w:r>
            <w:r w:rsidR="00D216C7">
              <w:rPr>
                <w:rFonts w:ascii="Arial" w:hAnsi="Arial" w:cs="Arial"/>
                <w:b/>
              </w:rPr>
              <w:t>Collections Development</w:t>
            </w:r>
            <w:r w:rsidR="0069681F">
              <w:rPr>
                <w:rFonts w:ascii="Arial" w:hAnsi="Arial" w:cs="Arial"/>
                <w:b/>
              </w:rPr>
              <w:t xml:space="preserve"> </w:t>
            </w:r>
            <w:r w:rsidR="00C3325B">
              <w:rPr>
                <w:rFonts w:ascii="Arial" w:hAnsi="Arial" w:cs="Arial"/>
                <w:b/>
              </w:rPr>
              <w:t>Policy</w:t>
            </w:r>
          </w:p>
          <w:p w:rsidRPr="004361F5" w:rsidR="00DB68C7" w:rsidP="00714824" w:rsidRDefault="00DB68C7">
            <w:pPr>
              <w:rPr>
                <w:rFonts w:ascii="Arial" w:hAnsi="Arial" w:cs="Arial"/>
                <w:b/>
              </w:rPr>
            </w:pPr>
          </w:p>
        </w:tc>
        <w:tc>
          <w:tcPr>
            <w:tcW w:w="3260" w:type="dxa"/>
            <w:vMerge w:val="restart"/>
          </w:tcPr>
          <w:p w:rsidR="00DB68C7" w:rsidP="0091127E" w:rsidRDefault="00DB68C7">
            <w:pPr>
              <w:rPr>
                <w:rFonts w:ascii="Arial" w:hAnsi="Arial" w:cs="Arial"/>
              </w:rPr>
            </w:pPr>
            <w:r>
              <w:rPr>
                <w:rFonts w:ascii="Arial" w:hAnsi="Arial" w:cs="Arial"/>
                <w:noProof/>
                <w:lang w:eastAsia="en-GB"/>
              </w:rPr>
              <w:drawing>
                <wp:anchor distT="0" distB="0" distL="114300" distR="114300" simplePos="0" relativeHeight="251663872" behindDoc="0" locked="0" layoutInCell="1" allowOverlap="1">
                  <wp:simplePos x="0" y="0"/>
                  <wp:positionH relativeFrom="column">
                    <wp:posOffset>-26035</wp:posOffset>
                  </wp:positionH>
                  <wp:positionV relativeFrom="paragraph">
                    <wp:posOffset>79375</wp:posOffset>
                  </wp:positionV>
                  <wp:extent cx="1972310" cy="922020"/>
                  <wp:effectExtent l="0" t="0" r="8890" b="0"/>
                  <wp:wrapNone/>
                  <wp:docPr id="20" name="Picture 20" descr="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medium"/>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7231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8C7" w:rsidP="0091127E" w:rsidRDefault="00DB68C7">
            <w:pPr>
              <w:rPr>
                <w:rFonts w:ascii="Arial" w:hAnsi="Arial" w:cs="Arial"/>
              </w:rPr>
            </w:pPr>
          </w:p>
          <w:p w:rsidR="00DB68C7" w:rsidP="0091127E" w:rsidRDefault="00DB68C7">
            <w:pPr>
              <w:rPr>
                <w:rFonts w:ascii="Arial" w:hAnsi="Arial" w:cs="Arial"/>
              </w:rPr>
            </w:pPr>
          </w:p>
          <w:p w:rsidR="00DB68C7" w:rsidP="0091127E" w:rsidRDefault="00DB68C7">
            <w:pPr>
              <w:rPr>
                <w:rFonts w:ascii="Arial" w:hAnsi="Arial" w:cs="Arial"/>
              </w:rPr>
            </w:pPr>
          </w:p>
          <w:p w:rsidR="00DB68C7" w:rsidP="0091127E" w:rsidRDefault="00DB68C7">
            <w:pPr>
              <w:rPr>
                <w:rFonts w:ascii="Arial" w:hAnsi="Arial" w:cs="Arial"/>
              </w:rPr>
            </w:pPr>
          </w:p>
        </w:tc>
      </w:tr>
      <w:tr w:rsidR="00DB68C7" w:rsidTr="008E3A22">
        <w:trPr>
          <w:trHeight w:val="847"/>
        </w:trPr>
        <w:tc>
          <w:tcPr>
            <w:tcW w:w="6096" w:type="dxa"/>
          </w:tcPr>
          <w:p w:rsidRPr="00C6009F" w:rsidR="00714824" w:rsidP="00714824" w:rsidRDefault="00714824">
            <w:pPr>
              <w:spacing w:before="240"/>
              <w:rPr>
                <w:rFonts w:ascii="Arial" w:hAnsi="Arial" w:cs="Arial"/>
              </w:rPr>
            </w:pPr>
            <w:r w:rsidRPr="00C6009F">
              <w:rPr>
                <w:rFonts w:ascii="Arial" w:hAnsi="Arial" w:cs="Arial"/>
                <w:sz w:val="20"/>
                <w:szCs w:val="20"/>
              </w:rPr>
              <w:t>Author:</w:t>
            </w:r>
            <w:r w:rsidRPr="00C6009F">
              <w:rPr>
                <w:rFonts w:ascii="Arial" w:hAnsi="Arial" w:cs="Arial"/>
              </w:rPr>
              <w:t xml:space="preserve"> </w:t>
            </w:r>
            <w:r w:rsidR="00614E4B">
              <w:rPr>
                <w:rFonts w:ascii="Arial" w:hAnsi="Arial" w:cs="Arial"/>
                <w:b/>
              </w:rPr>
              <w:t>Information Services</w:t>
            </w:r>
          </w:p>
          <w:p w:rsidR="00DB68C7" w:rsidP="0091127E" w:rsidRDefault="00DB68C7">
            <w:pPr>
              <w:rPr>
                <w:rFonts w:ascii="Arial" w:hAnsi="Arial" w:cs="Arial"/>
              </w:rPr>
            </w:pPr>
          </w:p>
        </w:tc>
        <w:tc>
          <w:tcPr>
            <w:tcW w:w="3260" w:type="dxa"/>
            <w:vMerge/>
          </w:tcPr>
          <w:p w:rsidR="00DB68C7" w:rsidP="0091127E" w:rsidRDefault="00DB68C7">
            <w:pPr>
              <w:rPr>
                <w:rFonts w:ascii="Arial" w:hAnsi="Arial" w:cs="Arial"/>
                <w:noProof/>
                <w:lang w:val="en-US"/>
              </w:rPr>
            </w:pPr>
          </w:p>
        </w:tc>
      </w:tr>
      <w:tr w:rsidR="00FA60A2" w:rsidTr="00CD6D5C">
        <w:trPr>
          <w:trHeight w:val="10762"/>
        </w:trPr>
        <w:tc>
          <w:tcPr>
            <w:tcW w:w="9356" w:type="dxa"/>
            <w:gridSpan w:val="2"/>
            <w:tcBorders>
              <w:bottom w:val="single" w:color="auto" w:sz="4" w:space="0"/>
            </w:tcBorders>
          </w:tcPr>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AD49F6" w:rsidP="0091127E" w:rsidRDefault="00AD49F6">
            <w:pPr>
              <w:rPr>
                <w:rFonts w:ascii="Arial" w:hAnsi="Arial" w:cs="Arial"/>
                <w:b/>
                <w:sz w:val="52"/>
                <w:szCs w:val="52"/>
              </w:rPr>
            </w:pPr>
          </w:p>
          <w:p w:rsidRPr="00AD49F6" w:rsidR="00FA60A2" w:rsidP="0091127E" w:rsidRDefault="009A7340">
            <w:pPr>
              <w:rPr>
                <w:rFonts w:ascii="Arial" w:hAnsi="Arial" w:cs="Arial"/>
                <w:b/>
                <w:sz w:val="56"/>
                <w:szCs w:val="56"/>
              </w:rPr>
            </w:pPr>
            <w:r>
              <w:rPr>
                <w:rFonts w:ascii="Arial" w:hAnsi="Arial" w:cs="Arial"/>
                <w:b/>
                <w:sz w:val="56"/>
                <w:szCs w:val="56"/>
              </w:rPr>
              <w:t>Information</w:t>
            </w:r>
            <w:r w:rsidRPr="00AD49F6" w:rsidR="00FA60A2">
              <w:rPr>
                <w:rFonts w:ascii="Arial" w:hAnsi="Arial" w:cs="Arial"/>
                <w:b/>
                <w:sz w:val="56"/>
                <w:szCs w:val="56"/>
              </w:rPr>
              <w:t xml:space="preserve"> Services</w:t>
            </w:r>
          </w:p>
          <w:p w:rsidRPr="00AD49F6" w:rsidR="00FA60A2" w:rsidP="0091127E" w:rsidRDefault="00FA60A2">
            <w:pPr>
              <w:rPr>
                <w:rFonts w:ascii="Arial" w:hAnsi="Arial" w:cs="Arial"/>
                <w:b/>
                <w:sz w:val="56"/>
                <w:szCs w:val="56"/>
              </w:rPr>
            </w:pPr>
            <w:r w:rsidRPr="00AD49F6">
              <w:rPr>
                <w:rFonts w:ascii="Arial" w:hAnsi="Arial" w:cs="Arial"/>
                <w:b/>
                <w:sz w:val="56"/>
                <w:szCs w:val="56"/>
              </w:rPr>
              <w:t>Policies and Procedures</w:t>
            </w: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E00C4A" w:rsidP="0091127E" w:rsidRDefault="00E00C4A">
            <w:pPr>
              <w:rPr>
                <w:rFonts w:ascii="Arial" w:hAnsi="Arial" w:cs="Arial"/>
                <w:sz w:val="48"/>
                <w:szCs w:val="48"/>
              </w:rPr>
            </w:pPr>
          </w:p>
          <w:p w:rsidR="00FA60A2" w:rsidP="0091127E" w:rsidRDefault="00EC7CF6">
            <w:pPr>
              <w:rPr>
                <w:rFonts w:ascii="Arial" w:hAnsi="Arial" w:cs="Arial"/>
              </w:rPr>
            </w:pPr>
            <w:r w:rsidRPr="00EC7CF6">
              <w:rPr>
                <w:rFonts w:ascii="Arial" w:hAnsi="Arial" w:cs="Arial"/>
                <w:sz w:val="48"/>
                <w:szCs w:val="48"/>
              </w:rPr>
              <w:t xml:space="preserve">ARCHIVES &amp; SPECIAL COLLECTIONS </w:t>
            </w:r>
            <w:r w:rsidR="00D216C7">
              <w:rPr>
                <w:rFonts w:ascii="Arial" w:hAnsi="Arial" w:cs="Arial"/>
                <w:sz w:val="48"/>
                <w:szCs w:val="48"/>
              </w:rPr>
              <w:t>COLLECTIONS DEVELOPMENT</w:t>
            </w:r>
            <w:r w:rsidR="0069681F">
              <w:rPr>
                <w:rFonts w:ascii="Arial" w:hAnsi="Arial" w:cs="Arial"/>
                <w:sz w:val="48"/>
                <w:szCs w:val="48"/>
              </w:rPr>
              <w:t xml:space="preserve"> </w:t>
            </w:r>
            <w:r w:rsidRPr="00EC7CF6">
              <w:rPr>
                <w:rFonts w:ascii="Arial" w:hAnsi="Arial" w:cs="Arial"/>
                <w:sz w:val="48"/>
                <w:szCs w:val="48"/>
              </w:rPr>
              <w:t>POLICY</w:t>
            </w:r>
          </w:p>
          <w:p w:rsidR="00CD6D5C" w:rsidP="0091127E" w:rsidRDefault="00CD6D5C">
            <w:pPr>
              <w:rPr>
                <w:rFonts w:ascii="Arial" w:hAnsi="Arial" w:cs="Arial"/>
              </w:rPr>
            </w:pPr>
          </w:p>
          <w:p w:rsidR="00CD6D5C" w:rsidP="0091127E" w:rsidRDefault="00CD6D5C">
            <w:pPr>
              <w:rPr>
                <w:rFonts w:ascii="Arial" w:hAnsi="Arial" w:cs="Arial"/>
              </w:rPr>
            </w:pPr>
          </w:p>
          <w:p w:rsidRPr="00E46ED0" w:rsidR="00E46ED0" w:rsidP="00E46ED0" w:rsidRDefault="00E46ED0">
            <w:pPr>
              <w:rPr>
                <w:rFonts w:ascii="Arial" w:hAnsi="Arial" w:cs="Arial"/>
              </w:rPr>
            </w:pPr>
          </w:p>
          <w:p w:rsidR="00CD6D5C" w:rsidP="0091127E" w:rsidRDefault="00CD6D5C">
            <w:pPr>
              <w:rPr>
                <w:rFonts w:ascii="Arial" w:hAnsi="Arial" w:cs="Arial"/>
              </w:rPr>
            </w:pPr>
          </w:p>
        </w:tc>
      </w:tr>
      <w:tr w:rsidR="00CD6D5C" w:rsidTr="00CD6D5C">
        <w:trPr>
          <w:trHeight w:val="842"/>
        </w:trPr>
        <w:tc>
          <w:tcPr>
            <w:tcW w:w="9356" w:type="dxa"/>
            <w:gridSpan w:val="2"/>
          </w:tcPr>
          <w:p w:rsidR="00CD6D5C" w:rsidP="00911372" w:rsidRDefault="00CD6D5C">
            <w:pPr>
              <w:rPr>
                <w:rFonts w:ascii="Arial" w:hAnsi="Arial" w:cs="Arial"/>
              </w:rPr>
            </w:pPr>
          </w:p>
          <w:p w:rsidRPr="009F6293" w:rsidR="00CD6D5C" w:rsidP="009F6293" w:rsidRDefault="00CD6D5C">
            <w:pPr>
              <w:spacing w:before="240"/>
              <w:jc w:val="right"/>
              <w:rPr>
                <w:rFonts w:ascii="Arial" w:hAnsi="Arial" w:cs="Arial"/>
                <w:sz w:val="22"/>
                <w:szCs w:val="22"/>
                <w:lang w:val="en-US"/>
              </w:rPr>
            </w:pPr>
            <w:r w:rsidRPr="009F6293">
              <w:rPr>
                <w:rFonts w:ascii="Arial" w:hAnsi="Arial" w:cs="Arial"/>
                <w:sz w:val="22"/>
                <w:szCs w:val="22"/>
                <w:lang w:val="en-US"/>
              </w:rPr>
              <w:t>St George's, University of London, Cranmer Terrace, London  SW17 0RE</w:t>
            </w:r>
          </w:p>
        </w:tc>
      </w:tr>
    </w:tbl>
    <w:p w:rsidR="0091127E" w:rsidP="00911372" w:rsidRDefault="0091127E">
      <w:pPr>
        <w:rPr>
          <w:rFonts w:ascii="Arial" w:hAnsi="Arial" w:cs="Arial"/>
        </w:rPr>
      </w:pPr>
    </w:p>
    <w:p w:rsidR="006238C7" w:rsidP="00911372" w:rsidRDefault="006238C7">
      <w:pPr>
        <w:rPr>
          <w:rFonts w:ascii="Arial" w:hAnsi="Arial" w:cs="Arial"/>
        </w:rPr>
      </w:pPr>
    </w:p>
    <w:p w:rsidR="003F5840" w:rsidP="00911372" w:rsidRDefault="003F5840">
      <w:pPr>
        <w:rPr>
          <w:rFonts w:ascii="Arial" w:hAnsi="Arial" w:cs="Arial"/>
        </w:rPr>
      </w:pPr>
    </w:p>
    <w:p w:rsidRPr="00855914" w:rsidR="003F5840" w:rsidP="00855914" w:rsidRDefault="003F5840">
      <w:pPr>
        <w:rPr>
          <w:rFonts w:ascii="Arial" w:hAnsi="Arial" w:cs="Arial"/>
          <w:b/>
          <w:sz w:val="32"/>
          <w:szCs w:val="32"/>
        </w:rPr>
      </w:pPr>
      <w:bookmarkStart w:name="_Toc508895004" w:id="0"/>
      <w:r w:rsidRPr="00855914">
        <w:rPr>
          <w:rFonts w:ascii="Arial" w:hAnsi="Arial" w:cs="Arial"/>
          <w:b/>
          <w:sz w:val="32"/>
          <w:szCs w:val="32"/>
        </w:rPr>
        <w:t>Contents</w:t>
      </w:r>
      <w:bookmarkEnd w:id="0"/>
    </w:p>
    <w:p w:rsidR="007C0706" w:rsidRDefault="00855914">
      <w:pPr>
        <w:pStyle w:val="TOC1"/>
        <w:tabs>
          <w:tab w:val="left" w:pos="480"/>
          <w:tab w:val="right" w:leader="dot" w:pos="8303"/>
        </w:tabs>
        <w:rPr>
          <w:rFonts w:asciiTheme="minorHAnsi" w:hAnsiTheme="minorHAnsi" w:eastAsiaTheme="minorEastAsia" w:cstheme="minorBidi"/>
          <w:noProof/>
          <w:sz w:val="22"/>
          <w:szCs w:val="22"/>
          <w:lang w:eastAsia="en-GB"/>
        </w:rPr>
      </w:pPr>
      <w:r>
        <w:fldChar w:fldCharType="begin"/>
      </w:r>
      <w:r>
        <w:instrText xml:space="preserve"> TOC \o "1-3" \h \z \u </w:instrText>
      </w:r>
      <w:r>
        <w:fldChar w:fldCharType="separate"/>
      </w:r>
      <w:hyperlink w:history="1" w:anchor="_Toc511643738">
        <w:r w:rsidRPr="00B91B62" w:rsidR="007C0706">
          <w:rPr>
            <w:rStyle w:val="Hyperlink"/>
            <w:noProof/>
          </w:rPr>
          <w:t>1.</w:t>
        </w:r>
        <w:r w:rsidR="007C0706">
          <w:rPr>
            <w:rFonts w:asciiTheme="minorHAnsi" w:hAnsiTheme="minorHAnsi" w:eastAsiaTheme="minorEastAsia" w:cstheme="minorBidi"/>
            <w:noProof/>
            <w:sz w:val="22"/>
            <w:szCs w:val="22"/>
            <w:lang w:eastAsia="en-GB"/>
          </w:rPr>
          <w:tab/>
        </w:r>
        <w:r w:rsidRPr="00B91B62" w:rsidR="007C0706">
          <w:rPr>
            <w:rStyle w:val="Hyperlink"/>
            <w:noProof/>
          </w:rPr>
          <w:t>Introduction</w:t>
        </w:r>
        <w:r w:rsidR="007C0706">
          <w:rPr>
            <w:noProof/>
            <w:webHidden/>
          </w:rPr>
          <w:tab/>
        </w:r>
        <w:r w:rsidR="007C0706">
          <w:rPr>
            <w:noProof/>
            <w:webHidden/>
          </w:rPr>
          <w:fldChar w:fldCharType="begin"/>
        </w:r>
        <w:r w:rsidR="007C0706">
          <w:rPr>
            <w:noProof/>
            <w:webHidden/>
          </w:rPr>
          <w:instrText xml:space="preserve"> PAGEREF _Toc511643738 \h </w:instrText>
        </w:r>
        <w:r w:rsidR="007C0706">
          <w:rPr>
            <w:noProof/>
            <w:webHidden/>
          </w:rPr>
        </w:r>
        <w:r w:rsidR="007C0706">
          <w:rPr>
            <w:noProof/>
            <w:webHidden/>
          </w:rPr>
          <w:fldChar w:fldCharType="separate"/>
        </w:r>
        <w:r w:rsidR="007C0706">
          <w:rPr>
            <w:noProof/>
            <w:webHidden/>
          </w:rPr>
          <w:t>3</w:t>
        </w:r>
        <w:r w:rsidR="007C0706">
          <w:rPr>
            <w:noProof/>
            <w:webHidden/>
          </w:rPr>
          <w:fldChar w:fldCharType="end"/>
        </w:r>
      </w:hyperlink>
    </w:p>
    <w:p w:rsidR="007C0706" w:rsidRDefault="002E3F08">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3739">
        <w:r w:rsidRPr="00B91B62" w:rsidR="007C0706">
          <w:rPr>
            <w:rStyle w:val="Hyperlink"/>
            <w:noProof/>
          </w:rPr>
          <w:t>2.</w:t>
        </w:r>
        <w:r w:rsidR="007C0706">
          <w:rPr>
            <w:rFonts w:asciiTheme="minorHAnsi" w:hAnsiTheme="minorHAnsi" w:eastAsiaTheme="minorEastAsia" w:cstheme="minorBidi"/>
            <w:noProof/>
            <w:sz w:val="22"/>
            <w:szCs w:val="22"/>
            <w:lang w:eastAsia="en-GB"/>
          </w:rPr>
          <w:tab/>
        </w:r>
        <w:r w:rsidRPr="00B91B62" w:rsidR="007C0706">
          <w:rPr>
            <w:rStyle w:val="Hyperlink"/>
            <w:noProof/>
          </w:rPr>
          <w:t>Scope of Policy</w:t>
        </w:r>
        <w:r w:rsidR="007C0706">
          <w:rPr>
            <w:noProof/>
            <w:webHidden/>
          </w:rPr>
          <w:tab/>
        </w:r>
        <w:r w:rsidR="007C0706">
          <w:rPr>
            <w:noProof/>
            <w:webHidden/>
          </w:rPr>
          <w:fldChar w:fldCharType="begin"/>
        </w:r>
        <w:r w:rsidR="007C0706">
          <w:rPr>
            <w:noProof/>
            <w:webHidden/>
          </w:rPr>
          <w:instrText xml:space="preserve"> PAGEREF _Toc511643739 \h </w:instrText>
        </w:r>
        <w:r w:rsidR="007C0706">
          <w:rPr>
            <w:noProof/>
            <w:webHidden/>
          </w:rPr>
        </w:r>
        <w:r w:rsidR="007C0706">
          <w:rPr>
            <w:noProof/>
            <w:webHidden/>
          </w:rPr>
          <w:fldChar w:fldCharType="separate"/>
        </w:r>
        <w:r w:rsidR="007C0706">
          <w:rPr>
            <w:noProof/>
            <w:webHidden/>
          </w:rPr>
          <w:t>3</w:t>
        </w:r>
        <w:r w:rsidR="007C0706">
          <w:rPr>
            <w:noProof/>
            <w:webHidden/>
          </w:rPr>
          <w:fldChar w:fldCharType="end"/>
        </w:r>
      </w:hyperlink>
    </w:p>
    <w:p w:rsidR="007C0706" w:rsidRDefault="002E3F08">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3740">
        <w:r w:rsidRPr="00B91B62" w:rsidR="007C0706">
          <w:rPr>
            <w:rStyle w:val="Hyperlink"/>
            <w:noProof/>
          </w:rPr>
          <w:t>3.</w:t>
        </w:r>
        <w:r w:rsidR="007C0706">
          <w:rPr>
            <w:rFonts w:asciiTheme="minorHAnsi" w:hAnsiTheme="minorHAnsi" w:eastAsiaTheme="minorEastAsia" w:cstheme="minorBidi"/>
            <w:noProof/>
            <w:sz w:val="22"/>
            <w:szCs w:val="22"/>
            <w:lang w:eastAsia="en-GB"/>
          </w:rPr>
          <w:tab/>
        </w:r>
        <w:r w:rsidRPr="00B91B62" w:rsidR="007C0706">
          <w:rPr>
            <w:rStyle w:val="Hyperlink"/>
            <w:noProof/>
          </w:rPr>
          <w:t>Responsibility, and Criteria Governing Future Collecting</w:t>
        </w:r>
        <w:r w:rsidR="007C0706">
          <w:rPr>
            <w:noProof/>
            <w:webHidden/>
          </w:rPr>
          <w:tab/>
        </w:r>
        <w:r w:rsidR="007C0706">
          <w:rPr>
            <w:noProof/>
            <w:webHidden/>
          </w:rPr>
          <w:fldChar w:fldCharType="begin"/>
        </w:r>
        <w:r w:rsidR="007C0706">
          <w:rPr>
            <w:noProof/>
            <w:webHidden/>
          </w:rPr>
          <w:instrText xml:space="preserve"> PAGEREF _Toc511643740 \h </w:instrText>
        </w:r>
        <w:r w:rsidR="007C0706">
          <w:rPr>
            <w:noProof/>
            <w:webHidden/>
          </w:rPr>
        </w:r>
        <w:r w:rsidR="007C0706">
          <w:rPr>
            <w:noProof/>
            <w:webHidden/>
          </w:rPr>
          <w:fldChar w:fldCharType="separate"/>
        </w:r>
        <w:r w:rsidR="007C0706">
          <w:rPr>
            <w:noProof/>
            <w:webHidden/>
          </w:rPr>
          <w:t>3</w:t>
        </w:r>
        <w:r w:rsidR="007C0706">
          <w:rPr>
            <w:noProof/>
            <w:webHidden/>
          </w:rPr>
          <w:fldChar w:fldCharType="end"/>
        </w:r>
      </w:hyperlink>
    </w:p>
    <w:p w:rsidR="007C0706" w:rsidRDefault="002E3F08">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3741">
        <w:r w:rsidRPr="00B91B62" w:rsidR="007C0706">
          <w:rPr>
            <w:rStyle w:val="Hyperlink"/>
            <w:noProof/>
          </w:rPr>
          <w:t>4.</w:t>
        </w:r>
        <w:r w:rsidR="007C0706">
          <w:rPr>
            <w:rFonts w:asciiTheme="minorHAnsi" w:hAnsiTheme="minorHAnsi" w:eastAsiaTheme="minorEastAsia" w:cstheme="minorBidi"/>
            <w:noProof/>
            <w:sz w:val="22"/>
            <w:szCs w:val="22"/>
            <w:lang w:eastAsia="en-GB"/>
          </w:rPr>
          <w:tab/>
        </w:r>
        <w:r w:rsidRPr="00B91B62" w:rsidR="007C0706">
          <w:rPr>
            <w:rStyle w:val="Hyperlink"/>
            <w:noProof/>
          </w:rPr>
          <w:t>Format</w:t>
        </w:r>
        <w:r w:rsidR="007C0706">
          <w:rPr>
            <w:noProof/>
            <w:webHidden/>
          </w:rPr>
          <w:tab/>
        </w:r>
        <w:r w:rsidR="007C0706">
          <w:rPr>
            <w:noProof/>
            <w:webHidden/>
          </w:rPr>
          <w:fldChar w:fldCharType="begin"/>
        </w:r>
        <w:r w:rsidR="007C0706">
          <w:rPr>
            <w:noProof/>
            <w:webHidden/>
          </w:rPr>
          <w:instrText xml:space="preserve"> PAGEREF _Toc511643741 \h </w:instrText>
        </w:r>
        <w:r w:rsidR="007C0706">
          <w:rPr>
            <w:noProof/>
            <w:webHidden/>
          </w:rPr>
        </w:r>
        <w:r w:rsidR="007C0706">
          <w:rPr>
            <w:noProof/>
            <w:webHidden/>
          </w:rPr>
          <w:fldChar w:fldCharType="separate"/>
        </w:r>
        <w:r w:rsidR="007C0706">
          <w:rPr>
            <w:noProof/>
            <w:webHidden/>
          </w:rPr>
          <w:t>4</w:t>
        </w:r>
        <w:r w:rsidR="007C0706">
          <w:rPr>
            <w:noProof/>
            <w:webHidden/>
          </w:rPr>
          <w:fldChar w:fldCharType="end"/>
        </w:r>
      </w:hyperlink>
    </w:p>
    <w:p w:rsidR="007C0706" w:rsidRDefault="002E3F08">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3742">
        <w:r w:rsidRPr="00B91B62" w:rsidR="007C0706">
          <w:rPr>
            <w:rStyle w:val="Hyperlink"/>
            <w:noProof/>
          </w:rPr>
          <w:t>5.</w:t>
        </w:r>
        <w:r w:rsidR="007C0706">
          <w:rPr>
            <w:rFonts w:asciiTheme="minorHAnsi" w:hAnsiTheme="minorHAnsi" w:eastAsiaTheme="minorEastAsia" w:cstheme="minorBidi"/>
            <w:noProof/>
            <w:sz w:val="22"/>
            <w:szCs w:val="22"/>
            <w:lang w:eastAsia="en-GB"/>
          </w:rPr>
          <w:tab/>
        </w:r>
        <w:r w:rsidRPr="00B91B62" w:rsidR="007C0706">
          <w:rPr>
            <w:rStyle w:val="Hyperlink"/>
            <w:noProof/>
          </w:rPr>
          <w:t>Methods of Acquisition</w:t>
        </w:r>
        <w:r w:rsidR="007C0706">
          <w:rPr>
            <w:noProof/>
            <w:webHidden/>
          </w:rPr>
          <w:tab/>
        </w:r>
        <w:r w:rsidR="007C0706">
          <w:rPr>
            <w:noProof/>
            <w:webHidden/>
          </w:rPr>
          <w:fldChar w:fldCharType="begin"/>
        </w:r>
        <w:r w:rsidR="007C0706">
          <w:rPr>
            <w:noProof/>
            <w:webHidden/>
          </w:rPr>
          <w:instrText xml:space="preserve"> PAGEREF _Toc511643742 \h </w:instrText>
        </w:r>
        <w:r w:rsidR="007C0706">
          <w:rPr>
            <w:noProof/>
            <w:webHidden/>
          </w:rPr>
        </w:r>
        <w:r w:rsidR="007C0706">
          <w:rPr>
            <w:noProof/>
            <w:webHidden/>
          </w:rPr>
          <w:fldChar w:fldCharType="separate"/>
        </w:r>
        <w:r w:rsidR="007C0706">
          <w:rPr>
            <w:noProof/>
            <w:webHidden/>
          </w:rPr>
          <w:t>4</w:t>
        </w:r>
        <w:r w:rsidR="007C0706">
          <w:rPr>
            <w:noProof/>
            <w:webHidden/>
          </w:rPr>
          <w:fldChar w:fldCharType="end"/>
        </w:r>
      </w:hyperlink>
    </w:p>
    <w:p w:rsidR="007C0706" w:rsidRDefault="002E3F08">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3743">
        <w:r w:rsidRPr="00B91B62" w:rsidR="007C0706">
          <w:rPr>
            <w:rStyle w:val="Hyperlink"/>
            <w:noProof/>
          </w:rPr>
          <w:t>6.</w:t>
        </w:r>
        <w:r w:rsidR="007C0706">
          <w:rPr>
            <w:rFonts w:asciiTheme="minorHAnsi" w:hAnsiTheme="minorHAnsi" w:eastAsiaTheme="minorEastAsia" w:cstheme="minorBidi"/>
            <w:noProof/>
            <w:sz w:val="22"/>
            <w:szCs w:val="22"/>
            <w:lang w:eastAsia="en-GB"/>
          </w:rPr>
          <w:tab/>
        </w:r>
        <w:r w:rsidRPr="00B91B62" w:rsidR="007C0706">
          <w:rPr>
            <w:rStyle w:val="Hyperlink"/>
            <w:noProof/>
          </w:rPr>
          <w:t>Loans Criteria</w:t>
        </w:r>
        <w:r w:rsidR="007C0706">
          <w:rPr>
            <w:noProof/>
            <w:webHidden/>
          </w:rPr>
          <w:tab/>
        </w:r>
        <w:r w:rsidR="007C0706">
          <w:rPr>
            <w:noProof/>
            <w:webHidden/>
          </w:rPr>
          <w:fldChar w:fldCharType="begin"/>
        </w:r>
        <w:r w:rsidR="007C0706">
          <w:rPr>
            <w:noProof/>
            <w:webHidden/>
          </w:rPr>
          <w:instrText xml:space="preserve"> PAGEREF _Toc511643743 \h </w:instrText>
        </w:r>
        <w:r w:rsidR="007C0706">
          <w:rPr>
            <w:noProof/>
            <w:webHidden/>
          </w:rPr>
        </w:r>
        <w:r w:rsidR="007C0706">
          <w:rPr>
            <w:noProof/>
            <w:webHidden/>
          </w:rPr>
          <w:fldChar w:fldCharType="separate"/>
        </w:r>
        <w:r w:rsidR="007C0706">
          <w:rPr>
            <w:noProof/>
            <w:webHidden/>
          </w:rPr>
          <w:t>6</w:t>
        </w:r>
        <w:r w:rsidR="007C0706">
          <w:rPr>
            <w:noProof/>
            <w:webHidden/>
          </w:rPr>
          <w:fldChar w:fldCharType="end"/>
        </w:r>
      </w:hyperlink>
    </w:p>
    <w:p w:rsidR="007C0706" w:rsidRDefault="002E3F08">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3744">
        <w:r w:rsidRPr="00B91B62" w:rsidR="007C0706">
          <w:rPr>
            <w:rStyle w:val="Hyperlink"/>
            <w:noProof/>
          </w:rPr>
          <w:t>7.</w:t>
        </w:r>
        <w:r w:rsidR="007C0706">
          <w:rPr>
            <w:rFonts w:asciiTheme="minorHAnsi" w:hAnsiTheme="minorHAnsi" w:eastAsiaTheme="minorEastAsia" w:cstheme="minorBidi"/>
            <w:noProof/>
            <w:sz w:val="22"/>
            <w:szCs w:val="22"/>
            <w:lang w:eastAsia="en-GB"/>
          </w:rPr>
          <w:tab/>
        </w:r>
        <w:r w:rsidRPr="00B91B62" w:rsidR="007C0706">
          <w:rPr>
            <w:rStyle w:val="Hyperlink"/>
            <w:noProof/>
          </w:rPr>
          <w:t>Accessioning and Public Availability</w:t>
        </w:r>
        <w:r w:rsidR="007C0706">
          <w:rPr>
            <w:noProof/>
            <w:webHidden/>
          </w:rPr>
          <w:tab/>
        </w:r>
        <w:r w:rsidR="007C0706">
          <w:rPr>
            <w:noProof/>
            <w:webHidden/>
          </w:rPr>
          <w:fldChar w:fldCharType="begin"/>
        </w:r>
        <w:r w:rsidR="007C0706">
          <w:rPr>
            <w:noProof/>
            <w:webHidden/>
          </w:rPr>
          <w:instrText xml:space="preserve"> PAGEREF _Toc511643744 \h </w:instrText>
        </w:r>
        <w:r w:rsidR="007C0706">
          <w:rPr>
            <w:noProof/>
            <w:webHidden/>
          </w:rPr>
        </w:r>
        <w:r w:rsidR="007C0706">
          <w:rPr>
            <w:noProof/>
            <w:webHidden/>
          </w:rPr>
          <w:fldChar w:fldCharType="separate"/>
        </w:r>
        <w:r w:rsidR="007C0706">
          <w:rPr>
            <w:noProof/>
            <w:webHidden/>
          </w:rPr>
          <w:t>6</w:t>
        </w:r>
        <w:r w:rsidR="007C0706">
          <w:rPr>
            <w:noProof/>
            <w:webHidden/>
          </w:rPr>
          <w:fldChar w:fldCharType="end"/>
        </w:r>
      </w:hyperlink>
    </w:p>
    <w:p w:rsidR="007C0706" w:rsidRDefault="002E3F08">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3745">
        <w:r w:rsidRPr="00B91B62" w:rsidR="007C0706">
          <w:rPr>
            <w:rStyle w:val="Hyperlink"/>
            <w:noProof/>
          </w:rPr>
          <w:t>8.</w:t>
        </w:r>
        <w:r w:rsidR="007C0706">
          <w:rPr>
            <w:rFonts w:asciiTheme="minorHAnsi" w:hAnsiTheme="minorHAnsi" w:eastAsiaTheme="minorEastAsia" w:cstheme="minorBidi"/>
            <w:noProof/>
            <w:sz w:val="22"/>
            <w:szCs w:val="22"/>
            <w:lang w:eastAsia="en-GB"/>
          </w:rPr>
          <w:tab/>
        </w:r>
        <w:r w:rsidRPr="00B91B62" w:rsidR="007C0706">
          <w:rPr>
            <w:rStyle w:val="Hyperlink"/>
            <w:noProof/>
          </w:rPr>
          <w:t>Deaccessioning, Disposal and Transfer</w:t>
        </w:r>
        <w:r w:rsidR="007C0706">
          <w:rPr>
            <w:noProof/>
            <w:webHidden/>
          </w:rPr>
          <w:tab/>
        </w:r>
        <w:r w:rsidR="007C0706">
          <w:rPr>
            <w:noProof/>
            <w:webHidden/>
          </w:rPr>
          <w:fldChar w:fldCharType="begin"/>
        </w:r>
        <w:r w:rsidR="007C0706">
          <w:rPr>
            <w:noProof/>
            <w:webHidden/>
          </w:rPr>
          <w:instrText xml:space="preserve"> PAGEREF _Toc511643745 \h </w:instrText>
        </w:r>
        <w:r w:rsidR="007C0706">
          <w:rPr>
            <w:noProof/>
            <w:webHidden/>
          </w:rPr>
        </w:r>
        <w:r w:rsidR="007C0706">
          <w:rPr>
            <w:noProof/>
            <w:webHidden/>
          </w:rPr>
          <w:fldChar w:fldCharType="separate"/>
        </w:r>
        <w:r w:rsidR="007C0706">
          <w:rPr>
            <w:noProof/>
            <w:webHidden/>
          </w:rPr>
          <w:t>6</w:t>
        </w:r>
        <w:r w:rsidR="007C0706">
          <w:rPr>
            <w:noProof/>
            <w:webHidden/>
          </w:rPr>
          <w:fldChar w:fldCharType="end"/>
        </w:r>
      </w:hyperlink>
    </w:p>
    <w:p w:rsidR="007C0706" w:rsidRDefault="002E3F08">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3746">
        <w:r w:rsidRPr="00B91B62" w:rsidR="007C0706">
          <w:rPr>
            <w:rStyle w:val="Hyperlink"/>
            <w:noProof/>
          </w:rPr>
          <w:t>9.</w:t>
        </w:r>
        <w:r w:rsidR="007C0706">
          <w:rPr>
            <w:rFonts w:asciiTheme="minorHAnsi" w:hAnsiTheme="minorHAnsi" w:eastAsiaTheme="minorEastAsia" w:cstheme="minorBidi"/>
            <w:noProof/>
            <w:sz w:val="22"/>
            <w:szCs w:val="22"/>
            <w:lang w:eastAsia="en-GB"/>
          </w:rPr>
          <w:tab/>
        </w:r>
        <w:r w:rsidRPr="00B91B62" w:rsidR="007C0706">
          <w:rPr>
            <w:rStyle w:val="Hyperlink"/>
            <w:noProof/>
          </w:rPr>
          <w:t>Policy Review Procedure</w:t>
        </w:r>
        <w:r w:rsidR="007C0706">
          <w:rPr>
            <w:noProof/>
            <w:webHidden/>
          </w:rPr>
          <w:tab/>
        </w:r>
        <w:r w:rsidR="007C0706">
          <w:rPr>
            <w:noProof/>
            <w:webHidden/>
          </w:rPr>
          <w:fldChar w:fldCharType="begin"/>
        </w:r>
        <w:r w:rsidR="007C0706">
          <w:rPr>
            <w:noProof/>
            <w:webHidden/>
          </w:rPr>
          <w:instrText xml:space="preserve"> PAGEREF _Toc511643746 \h </w:instrText>
        </w:r>
        <w:r w:rsidR="007C0706">
          <w:rPr>
            <w:noProof/>
            <w:webHidden/>
          </w:rPr>
        </w:r>
        <w:r w:rsidR="007C0706">
          <w:rPr>
            <w:noProof/>
            <w:webHidden/>
          </w:rPr>
          <w:fldChar w:fldCharType="separate"/>
        </w:r>
        <w:r w:rsidR="007C0706">
          <w:rPr>
            <w:noProof/>
            <w:webHidden/>
          </w:rPr>
          <w:t>8</w:t>
        </w:r>
        <w:r w:rsidR="007C0706">
          <w:rPr>
            <w:noProof/>
            <w:webHidden/>
          </w:rPr>
          <w:fldChar w:fldCharType="end"/>
        </w:r>
      </w:hyperlink>
    </w:p>
    <w:p w:rsidR="007C0706" w:rsidRDefault="002E3F08">
      <w:pPr>
        <w:pStyle w:val="TOC1"/>
        <w:tabs>
          <w:tab w:val="right" w:leader="dot" w:pos="8303"/>
        </w:tabs>
        <w:rPr>
          <w:rFonts w:asciiTheme="minorHAnsi" w:hAnsiTheme="minorHAnsi" w:eastAsiaTheme="minorEastAsia" w:cstheme="minorBidi"/>
          <w:noProof/>
          <w:sz w:val="22"/>
          <w:szCs w:val="22"/>
          <w:lang w:eastAsia="en-GB"/>
        </w:rPr>
      </w:pPr>
      <w:hyperlink w:history="1" w:anchor="_Toc511643747">
        <w:r w:rsidRPr="00B91B62" w:rsidR="007C0706">
          <w:rPr>
            <w:rStyle w:val="Hyperlink"/>
            <w:rFonts w:eastAsia="Arial"/>
            <w:bCs/>
            <w:noProof/>
          </w:rPr>
          <w:t>Document Information</w:t>
        </w:r>
        <w:r w:rsidR="007C0706">
          <w:rPr>
            <w:noProof/>
            <w:webHidden/>
          </w:rPr>
          <w:tab/>
        </w:r>
        <w:r w:rsidR="007C0706">
          <w:rPr>
            <w:noProof/>
            <w:webHidden/>
          </w:rPr>
          <w:fldChar w:fldCharType="begin"/>
        </w:r>
        <w:r w:rsidR="007C0706">
          <w:rPr>
            <w:noProof/>
            <w:webHidden/>
          </w:rPr>
          <w:instrText xml:space="preserve"> PAGEREF _Toc511643747 \h </w:instrText>
        </w:r>
        <w:r w:rsidR="007C0706">
          <w:rPr>
            <w:noProof/>
            <w:webHidden/>
          </w:rPr>
        </w:r>
        <w:r w:rsidR="007C0706">
          <w:rPr>
            <w:noProof/>
            <w:webHidden/>
          </w:rPr>
          <w:fldChar w:fldCharType="separate"/>
        </w:r>
        <w:r w:rsidR="007C0706">
          <w:rPr>
            <w:noProof/>
            <w:webHidden/>
          </w:rPr>
          <w:t>8</w:t>
        </w:r>
        <w:r w:rsidR="007C0706">
          <w:rPr>
            <w:noProof/>
            <w:webHidden/>
          </w:rPr>
          <w:fldChar w:fldCharType="end"/>
        </w:r>
      </w:hyperlink>
    </w:p>
    <w:p w:rsidR="007C0706" w:rsidRDefault="002E3F08">
      <w:pPr>
        <w:pStyle w:val="TOC1"/>
        <w:tabs>
          <w:tab w:val="right" w:leader="dot" w:pos="8303"/>
        </w:tabs>
        <w:rPr>
          <w:rFonts w:asciiTheme="minorHAnsi" w:hAnsiTheme="minorHAnsi" w:eastAsiaTheme="minorEastAsia" w:cstheme="minorBidi"/>
          <w:noProof/>
          <w:sz w:val="22"/>
          <w:szCs w:val="22"/>
          <w:lang w:eastAsia="en-GB"/>
        </w:rPr>
      </w:pPr>
      <w:hyperlink w:history="1" w:anchor="_Toc511643748">
        <w:r w:rsidRPr="00B91B62" w:rsidR="007C0706">
          <w:rPr>
            <w:rStyle w:val="Hyperlink"/>
            <w:rFonts w:eastAsia="Arial"/>
            <w:bCs/>
            <w:noProof/>
          </w:rPr>
          <w:t>Document History</w:t>
        </w:r>
        <w:r w:rsidR="007C0706">
          <w:rPr>
            <w:noProof/>
            <w:webHidden/>
          </w:rPr>
          <w:tab/>
        </w:r>
        <w:r w:rsidR="007C0706">
          <w:rPr>
            <w:noProof/>
            <w:webHidden/>
          </w:rPr>
          <w:fldChar w:fldCharType="begin"/>
        </w:r>
        <w:r w:rsidR="007C0706">
          <w:rPr>
            <w:noProof/>
            <w:webHidden/>
          </w:rPr>
          <w:instrText xml:space="preserve"> PAGEREF _Toc511643748 \h </w:instrText>
        </w:r>
        <w:r w:rsidR="007C0706">
          <w:rPr>
            <w:noProof/>
            <w:webHidden/>
          </w:rPr>
        </w:r>
        <w:r w:rsidR="007C0706">
          <w:rPr>
            <w:noProof/>
            <w:webHidden/>
          </w:rPr>
          <w:fldChar w:fldCharType="separate"/>
        </w:r>
        <w:r w:rsidR="007C0706">
          <w:rPr>
            <w:noProof/>
            <w:webHidden/>
          </w:rPr>
          <w:t>8</w:t>
        </w:r>
        <w:r w:rsidR="007C0706">
          <w:rPr>
            <w:noProof/>
            <w:webHidden/>
          </w:rPr>
          <w:fldChar w:fldCharType="end"/>
        </w:r>
      </w:hyperlink>
    </w:p>
    <w:p w:rsidRPr="00F36FAC" w:rsidR="00F36FAC" w:rsidP="00F36FAC" w:rsidRDefault="00855914">
      <w:r>
        <w:fldChar w:fldCharType="end"/>
      </w:r>
    </w:p>
    <w:p w:rsidR="00C7528A" w:rsidRDefault="00C7528A">
      <w:pPr>
        <w:rPr>
          <w:rFonts w:ascii="Arial" w:hAnsi="Arial" w:cs="Arial"/>
        </w:rPr>
      </w:pPr>
    </w:p>
    <w:p w:rsidR="00C7528A" w:rsidRDefault="00C7528A">
      <w:pPr>
        <w:rPr>
          <w:rFonts w:ascii="Arial" w:hAnsi="Arial" w:cs="Arial"/>
        </w:rPr>
      </w:pPr>
      <w:r>
        <w:rPr>
          <w:rFonts w:ascii="Arial" w:hAnsi="Arial" w:cs="Arial"/>
        </w:rPr>
        <w:br w:type="page"/>
      </w:r>
    </w:p>
    <w:p w:rsidRPr="00CE2D0B" w:rsidR="00B20F7A" w:rsidP="00B20F7A" w:rsidRDefault="0069681F">
      <w:pPr>
        <w:pStyle w:val="Heading1"/>
        <w:keepNext w:val="0"/>
        <w:numPr>
          <w:ilvl w:val="0"/>
          <w:numId w:val="4"/>
        </w:numPr>
        <w:spacing w:before="0" w:after="0"/>
        <w:contextualSpacing/>
      </w:pPr>
      <w:bookmarkStart w:name="_Toc511643738" w:id="1"/>
      <w:r>
        <w:lastRenderedPageBreak/>
        <w:t>Introduction</w:t>
      </w:r>
      <w:bookmarkEnd w:id="1"/>
    </w:p>
    <w:p w:rsidRPr="00CE2D0B" w:rsidR="00B20F7A" w:rsidP="00B20F7A" w:rsidRDefault="00B20F7A"/>
    <w:p w:rsidRPr="00D216C7" w:rsidR="00D216C7" w:rsidP="00D216C7" w:rsidRDefault="00D216C7">
      <w:pPr>
        <w:rPr>
          <w:rFonts w:ascii="Arial" w:hAnsi="Arial" w:cs="Arial"/>
        </w:rPr>
      </w:pPr>
      <w:r w:rsidRPr="00D216C7">
        <w:rPr>
          <w:rFonts w:ascii="Arial" w:hAnsi="Arial" w:cs="Arial"/>
        </w:rPr>
        <w:t>St George’s Archives and Special Collections (hereafter the “Archive”) collects, preserves and makes accessible unique materials documenting the history, functions and development of St George’s, University of London (hereafter “SGUL” or the “University”).  The Archive also aims to make accessible the history of St George’s Hospital which has a closely shared history with SGUL.  Although the majority of Hospital records have been deposited at the London Metropolitan Archives, an important series of records remain at SGUL.</w:t>
      </w:r>
    </w:p>
    <w:p w:rsidRPr="00D216C7" w:rsidR="00D216C7" w:rsidP="00D216C7" w:rsidRDefault="00D216C7">
      <w:pPr>
        <w:rPr>
          <w:rFonts w:ascii="Arial" w:hAnsi="Arial" w:cs="Arial"/>
        </w:rPr>
      </w:pPr>
    </w:p>
    <w:p w:rsidRPr="00772DF2" w:rsidR="00D216C7" w:rsidP="00D216C7" w:rsidRDefault="00772DF2">
      <w:pPr>
        <w:rPr>
          <w:rFonts w:ascii="Arial" w:hAnsi="Arial" w:cs="Arial"/>
          <w:b/>
        </w:rPr>
      </w:pPr>
      <w:r>
        <w:rPr>
          <w:rFonts w:ascii="Arial" w:hAnsi="Arial" w:cs="Arial"/>
          <w:b/>
        </w:rPr>
        <w:t>1.1 Mission Statement</w:t>
      </w:r>
      <w:r>
        <w:rPr>
          <w:rFonts w:ascii="Arial" w:hAnsi="Arial" w:cs="Arial"/>
          <w:b/>
        </w:rPr>
        <w:br/>
      </w:r>
      <w:r>
        <w:rPr>
          <w:rFonts w:ascii="Arial" w:hAnsi="Arial" w:cs="Arial"/>
          <w:b/>
        </w:rPr>
        <w:br/>
      </w:r>
      <w:r w:rsidRPr="00D216C7" w:rsidR="00D216C7">
        <w:rPr>
          <w:rFonts w:ascii="Arial" w:hAnsi="Arial" w:cs="Arial"/>
        </w:rPr>
        <w:t>The Archive collection supports the teaching and research activities of SGUL, and enables research and learning by individuals external to the University. The Archive’s activities are informed by the University’s strategy, focusing on providing excellent information and learning resources that enhance knowledge, inspire education, and promote the work and achievements of the University.</w:t>
      </w:r>
    </w:p>
    <w:p w:rsidRPr="00EC7CF6" w:rsidR="00B20F7A" w:rsidP="00C3325B" w:rsidRDefault="0069681F">
      <w:pPr>
        <w:pStyle w:val="Heading1"/>
        <w:numPr>
          <w:ilvl w:val="0"/>
          <w:numId w:val="4"/>
        </w:numPr>
      </w:pPr>
      <w:bookmarkStart w:name="_Toc511643739" w:id="2"/>
      <w:r>
        <w:t>Scope of Policy</w:t>
      </w:r>
      <w:bookmarkEnd w:id="2"/>
    </w:p>
    <w:p w:rsidRPr="00CE2D0B" w:rsidR="00B20F7A" w:rsidP="00B20F7A" w:rsidRDefault="00B20F7A"/>
    <w:p w:rsidRPr="00D216C7" w:rsidR="00D216C7" w:rsidP="00D216C7" w:rsidRDefault="00D216C7">
      <w:pPr>
        <w:rPr>
          <w:rFonts w:ascii="Arial" w:hAnsi="Arial" w:cs="Arial"/>
        </w:rPr>
      </w:pPr>
      <w:r w:rsidRPr="00D216C7">
        <w:rPr>
          <w:rFonts w:ascii="Arial" w:hAnsi="Arial" w:cs="Arial"/>
        </w:rPr>
        <w:t>The purpose of this policy is to define how archive material is selected for acquisition into the collection.</w:t>
      </w:r>
    </w:p>
    <w:p w:rsidRPr="00CE2D0B" w:rsidR="0069681F" w:rsidP="00EC7CF6" w:rsidRDefault="0069681F"/>
    <w:p w:rsidRPr="00CE2D0B" w:rsidR="00B20F7A" w:rsidP="00B20F7A" w:rsidRDefault="00D216C7">
      <w:pPr>
        <w:pStyle w:val="Heading1"/>
        <w:keepNext w:val="0"/>
        <w:numPr>
          <w:ilvl w:val="0"/>
          <w:numId w:val="4"/>
        </w:numPr>
        <w:spacing w:before="0" w:after="0"/>
        <w:contextualSpacing/>
      </w:pPr>
      <w:bookmarkStart w:name="_Toc511643740" w:id="3"/>
      <w:r>
        <w:t>Responsibility, and Criteria Governing Future Collecting</w:t>
      </w:r>
      <w:bookmarkEnd w:id="3"/>
    </w:p>
    <w:p w:rsidRPr="00CE2D0B" w:rsidR="00B20F7A" w:rsidP="00B20F7A" w:rsidRDefault="00B20F7A"/>
    <w:p w:rsidRPr="00D216C7" w:rsidR="00D216C7" w:rsidP="00D216C7" w:rsidRDefault="00D216C7">
      <w:pPr>
        <w:rPr>
          <w:rFonts w:ascii="Arial" w:hAnsi="Arial" w:cs="Arial"/>
        </w:rPr>
      </w:pPr>
      <w:r w:rsidRPr="00D216C7">
        <w:rPr>
          <w:rFonts w:ascii="Arial" w:hAnsi="Arial" w:cs="Arial"/>
        </w:rPr>
        <w:t>Materials deemed suitable for the Archive is decided by the Archivist, who has final say on what is collected.</w:t>
      </w:r>
    </w:p>
    <w:p w:rsidRPr="00D216C7" w:rsidR="00D216C7" w:rsidP="00D216C7" w:rsidRDefault="00D216C7">
      <w:pPr>
        <w:rPr>
          <w:rFonts w:ascii="Arial" w:hAnsi="Arial" w:cs="Arial"/>
        </w:rPr>
      </w:pPr>
      <w:r w:rsidRPr="00D216C7">
        <w:rPr>
          <w:rFonts w:ascii="Arial" w:hAnsi="Arial" w:cs="Arial"/>
        </w:rPr>
        <w:t xml:space="preserve">It is intended that the collections held by the Archives will cover the following subjects:-  </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SGUL research carried out in the field of medicine</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SGUL teaching priorities</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 xml:space="preserve">Material reflecting the history of SGUL and its connection with St </w:t>
      </w:r>
      <w:r>
        <w:rPr>
          <w:rFonts w:ascii="Arial" w:hAnsi="Arial" w:cs="Arial"/>
        </w:rPr>
        <w:tab/>
      </w:r>
      <w:r w:rsidRPr="00D216C7">
        <w:rPr>
          <w:rFonts w:ascii="Arial" w:hAnsi="Arial" w:cs="Arial"/>
        </w:rPr>
        <w:t>George’s Hospital</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Activities of former students and key members of staff</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Buildings occupied by the Hospital and Medical School</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Other suitable related material as identified by the Archivist</w:t>
      </w:r>
    </w:p>
    <w:p w:rsidRPr="00D216C7" w:rsidR="00D216C7" w:rsidP="00D216C7" w:rsidRDefault="00D216C7">
      <w:pPr>
        <w:rPr>
          <w:rFonts w:ascii="Arial" w:hAnsi="Arial" w:cs="Arial"/>
        </w:rPr>
      </w:pP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There are no date restrictions, providing the material directly relates to SGUL activities and is deemed suitable for the Archive.</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 xml:space="preserve">Materials </w:t>
      </w:r>
      <w:r w:rsidRPr="00D216C7">
        <w:rPr>
          <w:rFonts w:ascii="Arial" w:hAnsi="Arial" w:cs="Arial"/>
          <w:b/>
        </w:rPr>
        <w:t>not</w:t>
      </w:r>
      <w:r w:rsidRPr="00D216C7">
        <w:rPr>
          <w:rFonts w:ascii="Arial" w:hAnsi="Arial" w:cs="Arial"/>
        </w:rPr>
        <w:t xml:space="preserve"> collected by the Archive include, but are not limited to:</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Material relating to local history</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 xml:space="preserve">Material that might be more appropriately deposited elsewhere (see </w:t>
      </w:r>
      <w:r>
        <w:rPr>
          <w:rFonts w:ascii="Arial" w:hAnsi="Arial" w:cs="Arial"/>
        </w:rPr>
        <w:tab/>
      </w:r>
      <w:r w:rsidRPr="00D216C7">
        <w:rPr>
          <w:rFonts w:ascii="Arial" w:hAnsi="Arial" w:cs="Arial"/>
        </w:rPr>
        <w:t>section 5.1 Other Institutions)</w:t>
      </w:r>
    </w:p>
    <w:p w:rsidRPr="00D216C7" w:rsidR="00D216C7" w:rsidP="00D216C7" w:rsidRDefault="00D216C7">
      <w:pPr>
        <w:rPr>
          <w:rFonts w:ascii="Arial" w:hAnsi="Arial" w:cs="Arial"/>
        </w:rPr>
      </w:pPr>
      <w:r w:rsidRPr="00D216C7">
        <w:rPr>
          <w:rFonts w:ascii="Arial" w:hAnsi="Arial" w:cs="Arial"/>
        </w:rPr>
        <w:lastRenderedPageBreak/>
        <w:t>•</w:t>
      </w:r>
      <w:r w:rsidRPr="00D216C7">
        <w:rPr>
          <w:rFonts w:ascii="Arial" w:hAnsi="Arial" w:cs="Arial"/>
        </w:rPr>
        <w:tab/>
        <w:t xml:space="preserve">Duplicates of current holdings, or which are so similar as to not justify </w:t>
      </w:r>
      <w:r>
        <w:rPr>
          <w:rFonts w:ascii="Arial" w:hAnsi="Arial" w:cs="Arial"/>
        </w:rPr>
        <w:tab/>
      </w:r>
      <w:r w:rsidRPr="00D216C7">
        <w:rPr>
          <w:rFonts w:ascii="Arial" w:hAnsi="Arial" w:cs="Arial"/>
        </w:rPr>
        <w:t>their inclusion</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 xml:space="preserve">Copies of archives held elsewhere – unless, there is an exceptional </w:t>
      </w:r>
      <w:r>
        <w:rPr>
          <w:rFonts w:ascii="Arial" w:hAnsi="Arial" w:cs="Arial"/>
        </w:rPr>
        <w:tab/>
      </w:r>
      <w:r w:rsidRPr="00D216C7">
        <w:rPr>
          <w:rFonts w:ascii="Arial" w:hAnsi="Arial" w:cs="Arial"/>
        </w:rPr>
        <w:t xml:space="preserve">reason for keeping them (for instance, in support of an existing </w:t>
      </w:r>
      <w:r>
        <w:rPr>
          <w:rFonts w:ascii="Arial" w:hAnsi="Arial" w:cs="Arial"/>
        </w:rPr>
        <w:tab/>
      </w:r>
      <w:r w:rsidRPr="00D216C7">
        <w:rPr>
          <w:rFonts w:ascii="Arial" w:hAnsi="Arial" w:cs="Arial"/>
        </w:rPr>
        <w:t>collection)</w:t>
      </w:r>
    </w:p>
    <w:p w:rsidRPr="00D216C7" w:rsidR="00D216C7" w:rsidP="00D216C7" w:rsidRDefault="00D216C7">
      <w:pPr>
        <w:rPr>
          <w:rFonts w:ascii="Arial" w:hAnsi="Arial" w:cs="Arial"/>
        </w:rPr>
      </w:pPr>
    </w:p>
    <w:p w:rsidR="00EC7CF6" w:rsidP="00D216C7" w:rsidRDefault="00D216C7">
      <w:pPr>
        <w:rPr>
          <w:rFonts w:ascii="Arial" w:hAnsi="Arial" w:cs="Arial"/>
        </w:rPr>
      </w:pPr>
      <w:r w:rsidRPr="00D216C7">
        <w:rPr>
          <w:rFonts w:ascii="Arial" w:hAnsi="Arial" w:cs="Arial"/>
          <w:b/>
        </w:rPr>
        <w:t>Note:</w:t>
      </w:r>
      <w:r w:rsidRPr="00D216C7">
        <w:rPr>
          <w:rFonts w:ascii="Arial" w:hAnsi="Arial" w:cs="Arial"/>
        </w:rPr>
        <w:t xml:space="preserve"> The Archive is not a recognised ‘Place of Deposit’ and therefore does not accept materials subject to the Public Records Act (eg. NHS Hospital Records).</w:t>
      </w:r>
    </w:p>
    <w:p w:rsidR="00D216C7" w:rsidP="00D216C7" w:rsidRDefault="00D216C7">
      <w:pPr>
        <w:rPr>
          <w:rFonts w:ascii="Arial" w:hAnsi="Arial" w:cs="Arial"/>
        </w:rPr>
      </w:pPr>
    </w:p>
    <w:p w:rsidR="00EC7CF6" w:rsidP="00EC7CF6" w:rsidRDefault="00D216C7">
      <w:pPr>
        <w:pStyle w:val="Heading1"/>
        <w:keepNext w:val="0"/>
        <w:numPr>
          <w:ilvl w:val="0"/>
          <w:numId w:val="4"/>
        </w:numPr>
        <w:spacing w:before="0" w:after="0"/>
        <w:contextualSpacing/>
      </w:pPr>
      <w:bookmarkStart w:name="_Toc511643741" w:id="4"/>
      <w:r>
        <w:t>Format</w:t>
      </w:r>
      <w:bookmarkEnd w:id="4"/>
    </w:p>
    <w:p w:rsidRPr="00EC7CF6" w:rsidR="00EC7CF6" w:rsidP="00EC7CF6" w:rsidRDefault="00EC7CF6"/>
    <w:p w:rsidRPr="00D216C7" w:rsidR="00D216C7" w:rsidP="00D216C7" w:rsidRDefault="00D216C7">
      <w:pPr>
        <w:rPr>
          <w:rFonts w:ascii="Arial" w:hAnsi="Arial" w:cs="Arial"/>
        </w:rPr>
      </w:pPr>
      <w:r w:rsidRPr="00D216C7">
        <w:rPr>
          <w:rFonts w:ascii="Arial" w:hAnsi="Arial" w:cs="Arial"/>
        </w:rPr>
        <w:t>The Archive will accept mat</w:t>
      </w:r>
      <w:r>
        <w:rPr>
          <w:rFonts w:ascii="Arial" w:hAnsi="Arial" w:cs="Arial"/>
        </w:rPr>
        <w:t>erial in the following formats:</w:t>
      </w:r>
      <w:r w:rsidRPr="00D216C7">
        <w:rPr>
          <w:rFonts w:ascii="Arial" w:hAnsi="Arial" w:cs="Arial"/>
        </w:rPr>
        <w:t xml:space="preserve"> </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 xml:space="preserve">Paper: manuscript and typescript </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 xml:space="preserve">Video, film, digital and various photographic formats </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Drawings and illustrations</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 xml:space="preserve">Posters  </w:t>
      </w:r>
    </w:p>
    <w:p w:rsidR="00E01F2C" w:rsidP="00D216C7" w:rsidRDefault="00E01F2C">
      <w:pPr>
        <w:rPr>
          <w:rFonts w:ascii="Arial" w:hAnsi="Arial" w:cs="Arial"/>
        </w:rPr>
      </w:pPr>
      <w:r>
        <w:rPr>
          <w:rFonts w:ascii="Arial" w:hAnsi="Arial" w:cs="Arial"/>
        </w:rPr>
        <w:t>•</w:t>
      </w:r>
      <w:r>
        <w:rPr>
          <w:rFonts w:ascii="Arial" w:hAnsi="Arial" w:cs="Arial"/>
        </w:rPr>
        <w:tab/>
        <w:t>Maps and Plans</w:t>
      </w:r>
    </w:p>
    <w:p w:rsidRPr="00D216C7" w:rsidR="00E01F2C" w:rsidP="00D216C7" w:rsidRDefault="00E01F2C">
      <w:pPr>
        <w:rPr>
          <w:rFonts w:ascii="Arial" w:hAnsi="Arial" w:cs="Arial"/>
        </w:rPr>
      </w:pPr>
      <w:r>
        <w:rPr>
          <w:rFonts w:ascii="Arial" w:hAnsi="Arial" w:cs="Arial"/>
        </w:rPr>
        <w:t>•</w:t>
      </w:r>
      <w:r>
        <w:rPr>
          <w:rFonts w:ascii="Arial" w:hAnsi="Arial" w:cs="Arial"/>
        </w:rPr>
        <w:tab/>
        <w:t>Other formats as deemed appropriate</w:t>
      </w:r>
    </w:p>
    <w:p w:rsidRPr="00D216C7" w:rsidR="00D216C7" w:rsidP="00D216C7" w:rsidRDefault="00D216C7">
      <w:pPr>
        <w:rPr>
          <w:rFonts w:ascii="Arial" w:hAnsi="Arial" w:cs="Arial"/>
        </w:rPr>
      </w:pPr>
    </w:p>
    <w:p w:rsidRPr="0069681F" w:rsidR="00D216C7" w:rsidP="00D216C7" w:rsidRDefault="00D216C7">
      <w:pPr>
        <w:rPr>
          <w:rFonts w:ascii="Arial" w:hAnsi="Arial" w:cs="Arial"/>
        </w:rPr>
      </w:pPr>
      <w:r w:rsidRPr="00D216C7">
        <w:rPr>
          <w:rFonts w:ascii="Arial" w:hAnsi="Arial" w:cs="Arial"/>
        </w:rPr>
        <w:t>Material will not, however, be acquired where adequate storage, preservation, cataloguing and access cannot be achieved within the Archives’ existing or foreseeable resources.</w:t>
      </w:r>
    </w:p>
    <w:p w:rsidRPr="00EC7CF6" w:rsidR="00EC7CF6" w:rsidP="00EC7CF6" w:rsidRDefault="00EC7CF6"/>
    <w:p w:rsidR="00EC7CF6" w:rsidP="00EC7CF6" w:rsidRDefault="00D216C7">
      <w:pPr>
        <w:pStyle w:val="Heading1"/>
        <w:keepNext w:val="0"/>
        <w:numPr>
          <w:ilvl w:val="0"/>
          <w:numId w:val="4"/>
        </w:numPr>
        <w:spacing w:before="0" w:after="0"/>
        <w:contextualSpacing/>
      </w:pPr>
      <w:bookmarkStart w:name="_Toc511643742" w:id="5"/>
      <w:r>
        <w:t>Methods of Acquisition</w:t>
      </w:r>
      <w:bookmarkEnd w:id="5"/>
    </w:p>
    <w:p w:rsidRPr="00EC7CF6" w:rsidR="00EC7CF6" w:rsidP="00EC7CF6" w:rsidRDefault="00EC7CF6">
      <w:pPr>
        <w:rPr>
          <w:rFonts w:ascii="Arial" w:hAnsi="Arial" w:cs="Arial"/>
        </w:rPr>
      </w:pPr>
    </w:p>
    <w:p w:rsidRPr="00D216C7" w:rsidR="00D216C7" w:rsidP="00D216C7" w:rsidRDefault="00D216C7">
      <w:pPr>
        <w:rPr>
          <w:rFonts w:ascii="Arial" w:hAnsi="Arial" w:cs="Arial"/>
          <w:b/>
        </w:rPr>
      </w:pPr>
      <w:r w:rsidRPr="00D216C7">
        <w:rPr>
          <w:rFonts w:ascii="Arial" w:hAnsi="Arial" w:cs="Arial"/>
          <w:b/>
        </w:rPr>
        <w:t>5.1 Other Institutions</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SGUL will take account of the collecting policies of other archives, museums, libraries and organisations collecting in the same or related areas. SGUL will consult with these organisations where conflicts of interest may arise or to define areas of special interest, in order to avoid unnecessary duplication and waste of resources. Specific reference will be made to the following:</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Wellcome Trust</w:t>
      </w:r>
    </w:p>
    <w:p w:rsidRPr="00D216C7" w:rsidR="00D216C7" w:rsidP="00D216C7" w:rsidRDefault="00D216C7">
      <w:pPr>
        <w:rPr>
          <w:rFonts w:ascii="Arial" w:hAnsi="Arial" w:cs="Arial"/>
        </w:rPr>
      </w:pPr>
      <w:r w:rsidRPr="00D216C7">
        <w:rPr>
          <w:rFonts w:ascii="Arial" w:hAnsi="Arial" w:cs="Arial"/>
        </w:rPr>
        <w:t>Royal College of Surgeons</w:t>
      </w:r>
    </w:p>
    <w:p w:rsidRPr="00D216C7" w:rsidR="00D216C7" w:rsidP="00D216C7" w:rsidRDefault="00D216C7">
      <w:pPr>
        <w:rPr>
          <w:rFonts w:ascii="Arial" w:hAnsi="Arial" w:cs="Arial"/>
        </w:rPr>
      </w:pPr>
      <w:r w:rsidRPr="00D216C7">
        <w:rPr>
          <w:rFonts w:ascii="Arial" w:hAnsi="Arial" w:cs="Arial"/>
        </w:rPr>
        <w:t>Other medical royal colleges</w:t>
      </w:r>
    </w:p>
    <w:p w:rsidRPr="00D216C7" w:rsidR="00D216C7" w:rsidP="00D216C7" w:rsidRDefault="00D216C7">
      <w:pPr>
        <w:rPr>
          <w:rFonts w:ascii="Arial" w:hAnsi="Arial" w:cs="Arial"/>
        </w:rPr>
      </w:pPr>
      <w:r w:rsidRPr="00D216C7">
        <w:rPr>
          <w:rFonts w:ascii="Arial" w:hAnsi="Arial" w:cs="Arial"/>
        </w:rPr>
        <w:t>Thackray Medical Museum</w:t>
      </w:r>
    </w:p>
    <w:p w:rsidRPr="00D216C7" w:rsidR="00D216C7" w:rsidP="00D216C7" w:rsidRDefault="00D216C7">
      <w:pPr>
        <w:rPr>
          <w:rFonts w:ascii="Arial" w:hAnsi="Arial" w:cs="Arial"/>
        </w:rPr>
      </w:pPr>
      <w:r w:rsidRPr="00D216C7">
        <w:rPr>
          <w:rFonts w:ascii="Arial" w:hAnsi="Arial" w:cs="Arial"/>
        </w:rPr>
        <w:t>London Museums of Health and Medicine collections</w:t>
      </w:r>
    </w:p>
    <w:p w:rsidRPr="00D216C7" w:rsidR="00D216C7" w:rsidP="00D216C7" w:rsidRDefault="00D216C7">
      <w:pPr>
        <w:rPr>
          <w:rFonts w:ascii="Arial" w:hAnsi="Arial" w:cs="Arial"/>
        </w:rPr>
      </w:pPr>
      <w:r w:rsidRPr="00D216C7">
        <w:rPr>
          <w:rFonts w:ascii="Arial" w:hAnsi="Arial" w:cs="Arial"/>
        </w:rPr>
        <w:t>London Metropolitan Archives (hospital records)</w:t>
      </w:r>
    </w:p>
    <w:p w:rsidRPr="00D216C7" w:rsidR="00D216C7" w:rsidP="00D216C7" w:rsidRDefault="00D216C7">
      <w:pPr>
        <w:rPr>
          <w:rFonts w:ascii="Arial" w:hAnsi="Arial" w:cs="Arial"/>
        </w:rPr>
      </w:pPr>
    </w:p>
    <w:p w:rsidRPr="00D216C7" w:rsidR="00D216C7" w:rsidP="00D216C7" w:rsidRDefault="00D216C7">
      <w:pPr>
        <w:rPr>
          <w:rFonts w:ascii="Arial" w:hAnsi="Arial" w:cs="Arial"/>
        </w:rPr>
      </w:pPr>
    </w:p>
    <w:p w:rsidRPr="00D216C7" w:rsidR="00D216C7" w:rsidP="00D216C7" w:rsidRDefault="00D216C7">
      <w:pPr>
        <w:rPr>
          <w:rFonts w:ascii="Arial" w:hAnsi="Arial" w:cs="Arial"/>
          <w:b/>
        </w:rPr>
      </w:pPr>
      <w:r>
        <w:rPr>
          <w:rFonts w:ascii="Arial" w:hAnsi="Arial" w:cs="Arial"/>
          <w:b/>
        </w:rPr>
        <w:t>5.2</w:t>
      </w:r>
      <w:r w:rsidRPr="00D216C7">
        <w:rPr>
          <w:rFonts w:ascii="Arial" w:hAnsi="Arial" w:cs="Arial"/>
          <w:b/>
        </w:rPr>
        <w:t xml:space="preserve"> Donation or Bequest (Gifts)</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 xml:space="preserve">SGUL accepts collections as gifts, or as long-term loans in some exceptional cases (see section 6. Loans Criteria). </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Only documents which, in the judgement of an Archivist employed by SGUL, are of sufficient quality for permanent preservation will be accepted.</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lastRenderedPageBreak/>
        <w:t>The Archive will reserve the right to decline material which is deemed to be unsuitable, and either return it to its owner or suggest a more appropriate archive repository as stated in section 5.1 above.</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Once the material has been deposited in the Archive, it becomes the property of SGUL and cannot be retrieved either permanently or temporarily by the donor. The donor however, will be able to book an appointment to consult the deposited material in the Archive. Furthermore, the Archive will only accept material when satisfied that the depositor has proper authority or title of ownership to transfer it. The depositor will also be asked to sign a Gift Agreement form, transferring ownership of the material to SGUL. This can be done anonymously if the donor so wishes.</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It is a condition of acceptance that materials will be made available for access either immediately or at the expiry of a specified and agreed period.</w:t>
      </w:r>
    </w:p>
    <w:p w:rsidRPr="00D216C7" w:rsidR="00D216C7" w:rsidP="00D216C7" w:rsidRDefault="00D216C7">
      <w:pPr>
        <w:rPr>
          <w:rFonts w:ascii="Arial" w:hAnsi="Arial" w:cs="Arial"/>
        </w:rPr>
      </w:pPr>
    </w:p>
    <w:p w:rsidRPr="00D216C7" w:rsidR="00D216C7" w:rsidP="00D216C7" w:rsidRDefault="00D216C7">
      <w:pPr>
        <w:rPr>
          <w:rFonts w:ascii="Arial" w:hAnsi="Arial" w:cs="Arial"/>
        </w:rPr>
      </w:pPr>
    </w:p>
    <w:p w:rsidRPr="00D216C7" w:rsidR="00D216C7" w:rsidP="00D216C7" w:rsidRDefault="00D216C7">
      <w:pPr>
        <w:rPr>
          <w:rFonts w:ascii="Arial" w:hAnsi="Arial" w:cs="Arial"/>
          <w:b/>
        </w:rPr>
      </w:pPr>
      <w:r>
        <w:rPr>
          <w:rFonts w:ascii="Arial" w:hAnsi="Arial" w:cs="Arial"/>
          <w:b/>
        </w:rPr>
        <w:t xml:space="preserve">5.3 </w:t>
      </w:r>
      <w:r w:rsidRPr="00D216C7">
        <w:rPr>
          <w:rFonts w:ascii="Arial" w:hAnsi="Arial" w:cs="Arial"/>
          <w:b/>
        </w:rPr>
        <w:t xml:space="preserve">Purchase of Documents </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Purchases will only be made of documents of outstanding importance to the collection or University.  The Archivist will need to see either the original material or a good photograph of the item(s). The Principal will make the ultimate decision whether the material on offer is worth purchasing. Acquisitions purchased with the assistance of grant funding will be held subject to the terms and conditions of those supplying the funds.</w:t>
      </w:r>
    </w:p>
    <w:p w:rsidRPr="00D216C7" w:rsidR="00D216C7" w:rsidP="00D216C7" w:rsidRDefault="00D216C7">
      <w:pPr>
        <w:rPr>
          <w:rFonts w:ascii="Arial" w:hAnsi="Arial" w:cs="Arial"/>
        </w:rPr>
      </w:pPr>
    </w:p>
    <w:p w:rsidRPr="00D216C7" w:rsidR="00D216C7" w:rsidP="00D216C7" w:rsidRDefault="00D216C7">
      <w:pPr>
        <w:rPr>
          <w:rFonts w:ascii="Arial" w:hAnsi="Arial" w:cs="Arial"/>
        </w:rPr>
      </w:pPr>
    </w:p>
    <w:p w:rsidRPr="00D216C7" w:rsidR="00D216C7" w:rsidP="00D216C7" w:rsidRDefault="00D216C7">
      <w:pPr>
        <w:rPr>
          <w:rFonts w:ascii="Arial" w:hAnsi="Arial" w:cs="Arial"/>
          <w:b/>
        </w:rPr>
      </w:pPr>
      <w:r w:rsidRPr="00D216C7">
        <w:rPr>
          <w:rFonts w:ascii="Arial" w:hAnsi="Arial" w:cs="Arial"/>
          <w:b/>
        </w:rPr>
        <w:t>5.4 Internal Transfer of Material</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A records management programme is currently being developed by the Records Manager in the Governance, Legal &amp; Assurance Services team.  This will ensure the activities of SGUL are documented and will enforce a systematic transfer of specific records to the custody of the Archive once reviewed and selected for permanent preservation.</w:t>
      </w:r>
      <w:r w:rsidR="005202C1">
        <w:rPr>
          <w:rFonts w:ascii="Arial" w:hAnsi="Arial" w:cs="Arial"/>
        </w:rPr>
        <w:t xml:space="preserve">  SGUL </w:t>
      </w:r>
      <w:r w:rsidRPr="005202C1" w:rsidR="005202C1">
        <w:rPr>
          <w:rFonts w:ascii="Arial" w:hAnsi="Arial" w:cs="Arial"/>
        </w:rPr>
        <w:t xml:space="preserve">retention schedules </w:t>
      </w:r>
      <w:r w:rsidR="005202C1">
        <w:rPr>
          <w:rFonts w:ascii="Arial" w:hAnsi="Arial" w:cs="Arial"/>
        </w:rPr>
        <w:t xml:space="preserve">have been developed and </w:t>
      </w:r>
      <w:r w:rsidRPr="005202C1" w:rsidR="005202C1">
        <w:rPr>
          <w:rFonts w:ascii="Arial" w:hAnsi="Arial" w:cs="Arial"/>
        </w:rPr>
        <w:t>identify records which are to be preserved in the Archives.</w:t>
      </w:r>
      <w:r w:rsidR="005202C1">
        <w:rPr>
          <w:rFonts w:ascii="Arial" w:hAnsi="Arial" w:cs="Arial"/>
        </w:rPr>
        <w:t xml:space="preserve">  These can be viewed via the </w:t>
      </w:r>
      <w:r w:rsidR="00687B3E">
        <w:rPr>
          <w:rFonts w:ascii="Arial" w:hAnsi="Arial" w:cs="Arial"/>
        </w:rPr>
        <w:t>records management</w:t>
      </w:r>
      <w:r w:rsidR="005202C1">
        <w:rPr>
          <w:rFonts w:ascii="Arial" w:hAnsi="Arial" w:cs="Arial"/>
        </w:rPr>
        <w:t xml:space="preserve"> section of the SGUL website.</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The Archive will seek to actively transfer material from current, retiring or retired key members of staff. Of particular importance are medical private and working papers of senior academic staff, project papers and other related material.</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Other papers of value for transfer to the Archives:</w:t>
      </w: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Material which must be kept for legal reasons</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 xml:space="preserve">Material containing useful administrative information or which relate to </w:t>
      </w:r>
      <w:r>
        <w:rPr>
          <w:rFonts w:ascii="Arial" w:hAnsi="Arial" w:cs="Arial"/>
        </w:rPr>
        <w:tab/>
      </w:r>
      <w:r w:rsidRPr="00D216C7">
        <w:rPr>
          <w:rFonts w:ascii="Arial" w:hAnsi="Arial" w:cs="Arial"/>
        </w:rPr>
        <w:t>any agreement or contract of long-term effect</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 xml:space="preserve">Documents relating to important new medical/scientific discoveries </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 xml:space="preserve">Documents providing important information on the collections, </w:t>
      </w:r>
      <w:r>
        <w:rPr>
          <w:rFonts w:ascii="Arial" w:hAnsi="Arial" w:cs="Arial"/>
        </w:rPr>
        <w:tab/>
      </w:r>
      <w:r w:rsidRPr="00D216C7">
        <w:rPr>
          <w:rFonts w:ascii="Arial" w:hAnsi="Arial" w:cs="Arial"/>
        </w:rPr>
        <w:t xml:space="preserve">buildings, and other work of SGUL </w:t>
      </w:r>
    </w:p>
    <w:p w:rsidRPr="00D216C7" w:rsidR="00D216C7" w:rsidP="00D216C7" w:rsidRDefault="00D216C7">
      <w:pPr>
        <w:rPr>
          <w:rFonts w:ascii="Arial" w:hAnsi="Arial" w:cs="Arial"/>
        </w:rPr>
      </w:pPr>
      <w:r w:rsidRPr="00D216C7">
        <w:rPr>
          <w:rFonts w:ascii="Arial" w:hAnsi="Arial" w:cs="Arial"/>
        </w:rPr>
        <w:lastRenderedPageBreak/>
        <w:t>•</w:t>
      </w:r>
      <w:r w:rsidRPr="00D216C7">
        <w:rPr>
          <w:rFonts w:ascii="Arial" w:hAnsi="Arial" w:cs="Arial"/>
        </w:rPr>
        <w:tab/>
        <w:t>Material containing important unpublished medical data</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Material with potential for public exhibition or education</w:t>
      </w:r>
    </w:p>
    <w:p w:rsidRPr="00D216C7" w:rsidR="00D216C7" w:rsidP="00D216C7" w:rsidRDefault="00D216C7">
      <w:pPr>
        <w:rPr>
          <w:rFonts w:ascii="Arial" w:hAnsi="Arial" w:cs="Arial"/>
        </w:rPr>
      </w:pPr>
      <w:r w:rsidRPr="00D216C7">
        <w:rPr>
          <w:rFonts w:ascii="Arial" w:hAnsi="Arial" w:cs="Arial"/>
        </w:rPr>
        <w:t>•</w:t>
      </w:r>
      <w:r w:rsidRPr="00D216C7">
        <w:rPr>
          <w:rFonts w:ascii="Arial" w:hAnsi="Arial" w:cs="Arial"/>
        </w:rPr>
        <w:tab/>
        <w:t xml:space="preserve">Strengthening areas of the collections that have little or no </w:t>
      </w:r>
      <w:r>
        <w:rPr>
          <w:rFonts w:ascii="Arial" w:hAnsi="Arial" w:cs="Arial"/>
        </w:rPr>
        <w:tab/>
      </w:r>
      <w:r w:rsidRPr="00D216C7">
        <w:rPr>
          <w:rFonts w:ascii="Arial" w:hAnsi="Arial" w:cs="Arial"/>
        </w:rPr>
        <w:t>representation (filling gaps)</w:t>
      </w:r>
    </w:p>
    <w:p w:rsidRPr="00D216C7" w:rsidR="00D216C7" w:rsidP="00D216C7" w:rsidRDefault="00D216C7">
      <w:pPr>
        <w:rPr>
          <w:rFonts w:ascii="Arial" w:hAnsi="Arial" w:cs="Arial"/>
        </w:rPr>
      </w:pPr>
    </w:p>
    <w:p w:rsidRPr="00D216C7" w:rsidR="00D216C7" w:rsidP="00D216C7" w:rsidRDefault="00D216C7">
      <w:pPr>
        <w:rPr>
          <w:rFonts w:ascii="Arial" w:hAnsi="Arial" w:cs="Arial"/>
        </w:rPr>
      </w:pPr>
    </w:p>
    <w:p w:rsidRPr="00D216C7" w:rsidR="00D216C7" w:rsidP="00D216C7" w:rsidRDefault="00D216C7">
      <w:pPr>
        <w:rPr>
          <w:rFonts w:ascii="Arial" w:hAnsi="Arial" w:cs="Arial"/>
        </w:rPr>
      </w:pPr>
      <w:r w:rsidRPr="00D216C7">
        <w:rPr>
          <w:rFonts w:ascii="Arial" w:hAnsi="Arial" w:cs="Arial"/>
        </w:rPr>
        <w:t>Some of the categories mentioned above will also apply to 5.2 Donation or Bequest (Gifts).</w:t>
      </w:r>
    </w:p>
    <w:p w:rsidR="00EC7CF6" w:rsidP="0069681F" w:rsidRDefault="00EC7CF6">
      <w:pPr>
        <w:rPr>
          <w:rFonts w:ascii="Arial" w:hAnsi="Arial" w:cs="Arial"/>
        </w:rPr>
      </w:pPr>
    </w:p>
    <w:p w:rsidRPr="00EC7CF6" w:rsidR="0069681F" w:rsidP="0069681F" w:rsidRDefault="0069681F">
      <w:pPr>
        <w:rPr>
          <w:rFonts w:ascii="Arial" w:hAnsi="Arial" w:cs="Arial"/>
        </w:rPr>
      </w:pPr>
    </w:p>
    <w:p w:rsidR="00EC7CF6" w:rsidP="00EC7CF6" w:rsidRDefault="0059213B">
      <w:pPr>
        <w:pStyle w:val="Heading1"/>
        <w:keepNext w:val="0"/>
        <w:numPr>
          <w:ilvl w:val="0"/>
          <w:numId w:val="4"/>
        </w:numPr>
        <w:spacing w:before="0" w:after="0"/>
        <w:contextualSpacing/>
      </w:pPr>
      <w:bookmarkStart w:name="_Toc511643743" w:id="6"/>
      <w:r>
        <w:t>Loans Criteria</w:t>
      </w:r>
      <w:bookmarkEnd w:id="6"/>
    </w:p>
    <w:p w:rsidRPr="00EC7CF6" w:rsidR="00EC7CF6" w:rsidP="00EC7CF6" w:rsidRDefault="00EC7CF6"/>
    <w:p w:rsidRPr="0059213B" w:rsidR="0059213B" w:rsidP="0059213B" w:rsidRDefault="0059213B">
      <w:pPr>
        <w:rPr>
          <w:rFonts w:ascii="Arial" w:hAnsi="Arial" w:cs="Arial"/>
          <w:b/>
        </w:rPr>
      </w:pPr>
      <w:r w:rsidRPr="0059213B">
        <w:rPr>
          <w:rFonts w:ascii="Arial" w:hAnsi="Arial" w:cs="Arial"/>
          <w:b/>
        </w:rPr>
        <w:t>6.1 Incoming loans</w:t>
      </w:r>
    </w:p>
    <w:p w:rsidRPr="0059213B" w:rsidR="0059213B" w:rsidP="0059213B" w:rsidRDefault="0059213B">
      <w:pPr>
        <w:rPr>
          <w:rFonts w:ascii="Arial" w:hAnsi="Arial" w:cs="Arial"/>
        </w:rPr>
      </w:pPr>
      <w:r w:rsidRPr="0059213B">
        <w:rPr>
          <w:rFonts w:ascii="Arial" w:hAnsi="Arial" w:cs="Arial"/>
        </w:rPr>
        <w:t>Offers of long-term loans (as opposed to outright gifts) of archival collections will be considered only under exceptional circumstances and under terms formally agreed with the owner prior to transfer. The Archives reserve the right on occasion and if deemed necessary, to weed out unsuitable material from a collection, for either transfer to another repository or destruction.</w:t>
      </w:r>
    </w:p>
    <w:p w:rsidRPr="0059213B" w:rsidR="0059213B" w:rsidP="0059213B" w:rsidRDefault="0059213B">
      <w:pPr>
        <w:rPr>
          <w:rFonts w:ascii="Arial" w:hAnsi="Arial" w:cs="Arial"/>
        </w:rPr>
      </w:pPr>
    </w:p>
    <w:p w:rsidRPr="0059213B" w:rsidR="0059213B" w:rsidP="0059213B" w:rsidRDefault="0059213B">
      <w:pPr>
        <w:rPr>
          <w:rFonts w:ascii="Arial" w:hAnsi="Arial" w:cs="Arial"/>
          <w:b/>
        </w:rPr>
      </w:pPr>
      <w:r w:rsidRPr="0059213B">
        <w:rPr>
          <w:rFonts w:ascii="Arial" w:hAnsi="Arial" w:cs="Arial"/>
          <w:b/>
        </w:rPr>
        <w:t>6.2 Outgoing loans</w:t>
      </w:r>
    </w:p>
    <w:p w:rsidR="0069681F" w:rsidP="0059213B" w:rsidRDefault="0059213B">
      <w:pPr>
        <w:rPr>
          <w:rFonts w:ascii="Arial" w:hAnsi="Arial" w:cs="Arial"/>
        </w:rPr>
      </w:pPr>
      <w:r w:rsidRPr="0059213B">
        <w:rPr>
          <w:rFonts w:ascii="Arial" w:hAnsi="Arial" w:cs="Arial"/>
        </w:rPr>
        <w:t>External loans offer the opportunity to expand access to items and facilitate research which would not otherwise be carried out. The Archives will therefore lend accessioned items to other appropriately sanctioned heritage, educational or research institutions, within available resources and subject to loan conditions.</w:t>
      </w:r>
    </w:p>
    <w:p w:rsidRPr="0069681F" w:rsidR="0059213B" w:rsidP="0059213B" w:rsidRDefault="0059213B">
      <w:pPr>
        <w:rPr>
          <w:rFonts w:ascii="Arial" w:hAnsi="Arial" w:cs="Arial"/>
        </w:rPr>
      </w:pPr>
    </w:p>
    <w:p w:rsidR="0069681F" w:rsidP="0069681F" w:rsidRDefault="0069681F">
      <w:pPr>
        <w:rPr>
          <w:rFonts w:ascii="Arial" w:hAnsi="Arial" w:cs="Arial"/>
        </w:rPr>
      </w:pPr>
    </w:p>
    <w:p w:rsidR="00EC7CF6" w:rsidP="00EC7CF6" w:rsidRDefault="0059213B">
      <w:pPr>
        <w:pStyle w:val="Heading1"/>
        <w:keepNext w:val="0"/>
        <w:numPr>
          <w:ilvl w:val="0"/>
          <w:numId w:val="4"/>
        </w:numPr>
        <w:spacing w:before="0" w:after="0"/>
        <w:contextualSpacing/>
      </w:pPr>
      <w:bookmarkStart w:name="_Toc511643744" w:id="7"/>
      <w:r>
        <w:t>Accessioning and Public Availability</w:t>
      </w:r>
      <w:bookmarkEnd w:id="7"/>
    </w:p>
    <w:p w:rsidR="00EC7CF6" w:rsidRDefault="00EC7CF6">
      <w:pPr>
        <w:rPr>
          <w:rFonts w:ascii="Arial" w:hAnsi="Arial" w:cs="Arial"/>
        </w:rPr>
      </w:pPr>
    </w:p>
    <w:p w:rsidRPr="0059213B" w:rsidR="0059213B" w:rsidP="0059213B" w:rsidRDefault="0059213B">
      <w:pPr>
        <w:rPr>
          <w:rFonts w:ascii="Arial" w:hAnsi="Arial" w:cs="Arial"/>
        </w:rPr>
      </w:pPr>
      <w:r w:rsidRPr="0059213B">
        <w:rPr>
          <w:rFonts w:ascii="Arial" w:hAnsi="Arial" w:cs="Arial"/>
        </w:rPr>
        <w:t xml:space="preserve">Collections and single documents transferred to the Archives will be given a unique Accession number and registered in the Accessions spreadsheet. A note will also be made of the provenance and previous custody of the records. </w:t>
      </w:r>
    </w:p>
    <w:p w:rsidRPr="0059213B" w:rsidR="0059213B" w:rsidP="0059213B" w:rsidRDefault="0059213B">
      <w:pPr>
        <w:rPr>
          <w:rFonts w:ascii="Arial" w:hAnsi="Arial" w:cs="Arial"/>
        </w:rPr>
      </w:pPr>
    </w:p>
    <w:p w:rsidR="003733FD" w:rsidP="0059213B" w:rsidRDefault="0059213B">
      <w:pPr>
        <w:rPr>
          <w:rFonts w:ascii="Arial" w:hAnsi="Arial" w:cs="Arial"/>
        </w:rPr>
      </w:pPr>
      <w:r w:rsidRPr="0059213B">
        <w:rPr>
          <w:rFonts w:ascii="Arial" w:hAnsi="Arial" w:cs="Arial"/>
        </w:rPr>
        <w:t>The Archives will make every effort to publicise details of its finding aids electronically.</w:t>
      </w:r>
    </w:p>
    <w:p w:rsidR="0059213B" w:rsidP="0059213B" w:rsidRDefault="0059213B">
      <w:pPr>
        <w:rPr>
          <w:rFonts w:ascii="Arial" w:hAnsi="Arial" w:cs="Arial"/>
        </w:rPr>
      </w:pPr>
    </w:p>
    <w:p w:rsidR="00EC7CF6" w:rsidP="00EC7CF6" w:rsidRDefault="0059213B">
      <w:pPr>
        <w:pStyle w:val="Heading1"/>
        <w:keepNext w:val="0"/>
        <w:numPr>
          <w:ilvl w:val="0"/>
          <w:numId w:val="4"/>
        </w:numPr>
        <w:spacing w:before="0" w:after="0"/>
        <w:contextualSpacing/>
      </w:pPr>
      <w:bookmarkStart w:name="_Toc511643745" w:id="8"/>
      <w:r>
        <w:t>Deaccessioning, Disposal and Transfer</w:t>
      </w:r>
      <w:bookmarkEnd w:id="8"/>
    </w:p>
    <w:p w:rsidRPr="00C3325B" w:rsidR="00C3325B" w:rsidP="00C3325B" w:rsidRDefault="00C3325B"/>
    <w:p w:rsidR="00EC7CF6" w:rsidRDefault="0059213B">
      <w:pPr>
        <w:rPr>
          <w:rFonts w:ascii="Arial" w:hAnsi="Arial" w:cs="Arial"/>
        </w:rPr>
      </w:pPr>
      <w:r w:rsidRPr="0059213B">
        <w:rPr>
          <w:rFonts w:ascii="Arial" w:hAnsi="Arial" w:cs="Arial"/>
        </w:rPr>
        <w:t>All future deposits will be appraised, during which the Archivist will evaluate a deposit and identify any material unsuitable for permanent retention.  Such material will be returned to the depositor and if appropriate, advice will be given on more suitable repositories. Alternatively, with the depositor’s permission the material will be securely disposed of.</w:t>
      </w:r>
    </w:p>
    <w:p w:rsidR="0059213B" w:rsidRDefault="0059213B">
      <w:pPr>
        <w:rPr>
          <w:rFonts w:ascii="Arial" w:hAnsi="Arial" w:cs="Arial"/>
        </w:rPr>
      </w:pPr>
    </w:p>
    <w:p w:rsidRPr="0059213B" w:rsidR="0059213B" w:rsidP="0059213B" w:rsidRDefault="0059213B">
      <w:pPr>
        <w:rPr>
          <w:rFonts w:ascii="Arial" w:hAnsi="Arial" w:cs="Arial"/>
          <w:b/>
        </w:rPr>
      </w:pPr>
      <w:r w:rsidRPr="0059213B">
        <w:rPr>
          <w:rFonts w:ascii="Arial" w:hAnsi="Arial" w:cs="Arial"/>
          <w:b/>
        </w:rPr>
        <w:t>8.1 Disposal principles and procedures relating to unpublished materials</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8.1.1</w:t>
      </w:r>
      <w:r w:rsidRPr="0059213B">
        <w:rPr>
          <w:rFonts w:ascii="Arial" w:hAnsi="Arial" w:cs="Arial"/>
        </w:rPr>
        <w:t xml:space="preserve"> By definition, the Archive has a long-term purpose and should possess (or intend to acquire) permanent collections in relation to the collecting criteria (see section 3. Responsibility, and Criteria Governing Future Collecting).</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8.1.2</w:t>
      </w:r>
      <w:r w:rsidRPr="0059213B">
        <w:rPr>
          <w:rFonts w:ascii="Arial" w:hAnsi="Arial" w:cs="Arial"/>
        </w:rPr>
        <w:t xml:space="preserve"> The Archive accepts the principle that, except for reasonable curatorial purposes, there is a firm presumption against the disposal of any accessioned items in the collections.</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8.1.3</w:t>
      </w:r>
      <w:r w:rsidRPr="0059213B">
        <w:rPr>
          <w:rFonts w:ascii="Arial" w:hAnsi="Arial" w:cs="Arial"/>
        </w:rPr>
        <w:t xml:space="preserve"> The Archive will establish that it is legally free to dispose of an item. Any decision to dispose of material from the collections will be taken only after due consideration.</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8.1.4</w:t>
      </w:r>
      <w:r w:rsidRPr="0059213B">
        <w:rPr>
          <w:rFonts w:ascii="Arial" w:hAnsi="Arial" w:cs="Arial"/>
        </w:rPr>
        <w:t xml:space="preserve"> Decisions to dispose of items will not be made with the principal aim of generating funds.</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8.1.5</w:t>
      </w:r>
      <w:r w:rsidRPr="0059213B">
        <w:rPr>
          <w:rFonts w:ascii="Arial" w:hAnsi="Arial" w:cs="Arial"/>
        </w:rPr>
        <w:t xml:space="preserve"> Any funds received by SGUL from the disposal of items will be applied for the benefit of the collections. This normally means the conservation and preservation of the existing collections, and in some cases the purchase of new acquisitions. </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8.1.6</w:t>
      </w:r>
      <w:r w:rsidRPr="0059213B">
        <w:rPr>
          <w:rFonts w:ascii="Arial" w:hAnsi="Arial" w:cs="Arial"/>
        </w:rPr>
        <w:t xml:space="preserve"> A decision to dispose of an item, whether by gift, exchange, sale or destruction (in the case of an item too badly damaged or deteriorated to be of any use for the purposes of the collections), will be the responsibility of the Principal acting on the advice of professional Archive staff, and not of any individual staff member acting alone.</w:t>
      </w:r>
    </w:p>
    <w:p w:rsidRPr="0059213B" w:rsidR="0059213B" w:rsidP="0059213B" w:rsidRDefault="0059213B">
      <w:pPr>
        <w:rPr>
          <w:rFonts w:ascii="Arial" w:hAnsi="Arial" w:cs="Arial"/>
        </w:rPr>
      </w:pPr>
    </w:p>
    <w:p w:rsidR="0059213B" w:rsidP="0059213B" w:rsidRDefault="0059213B">
      <w:pPr>
        <w:rPr>
          <w:rFonts w:ascii="Arial" w:hAnsi="Arial" w:cs="Arial"/>
        </w:rPr>
      </w:pPr>
      <w:r w:rsidRPr="0059213B">
        <w:rPr>
          <w:rFonts w:ascii="Arial" w:hAnsi="Arial" w:cs="Arial"/>
          <w:b/>
        </w:rPr>
        <w:t>8.1.7</w:t>
      </w:r>
      <w:r w:rsidRPr="0059213B">
        <w:rPr>
          <w:rFonts w:ascii="Arial" w:hAnsi="Arial" w:cs="Arial"/>
        </w:rPr>
        <w:t xml:space="preserve"> Once a decision to dispose of material in the collection has been taken, priority will be given to retaining it within the public domain, unless it is to be destroyed. It will therefore be offered in the first instance, by gift, exchange or sale, directly to accredited museums or established archives likely to be interested in its acquisition.</w:t>
      </w:r>
    </w:p>
    <w:p w:rsidR="0059213B" w:rsidP="0059213B" w:rsidRDefault="0059213B">
      <w:pPr>
        <w:rPr>
          <w:rFonts w:ascii="Arial" w:hAnsi="Arial" w:cs="Arial"/>
        </w:rPr>
      </w:pPr>
    </w:p>
    <w:p w:rsidRPr="0059213B" w:rsidR="0059213B" w:rsidP="0059213B" w:rsidRDefault="0059213B">
      <w:pPr>
        <w:rPr>
          <w:rFonts w:ascii="Arial" w:hAnsi="Arial" w:cs="Arial"/>
          <w:b/>
        </w:rPr>
      </w:pPr>
      <w:r w:rsidRPr="0059213B">
        <w:rPr>
          <w:rFonts w:ascii="Arial" w:hAnsi="Arial" w:cs="Arial"/>
          <w:b/>
        </w:rPr>
        <w:t>8.2 Disposal principles and procedures relating to published materials</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rPr>
        <w:t>SGUL cannot guarantee to keep gifts of published materials in perpetuity and reserves the right to dispose of unwanted material which forms part of a donation or bequest. Published materials which meet one or more of the criteria below will normally be removed from the collections:</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8.2.1 Duplication:</w:t>
      </w:r>
      <w:r w:rsidRPr="0059213B">
        <w:rPr>
          <w:rFonts w:ascii="Arial" w:hAnsi="Arial" w:cs="Arial"/>
        </w:rPr>
        <w:t xml:space="preserve"> duplicate items, unless they are of particular monetary value or significant provenance, or if they fall into the category of heavily-used material or items where multiple copies are specifically required.</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8.2.2 Availability in surrogate form:</w:t>
      </w:r>
      <w:r w:rsidRPr="0059213B">
        <w:rPr>
          <w:rFonts w:ascii="Arial" w:hAnsi="Arial" w:cs="Arial"/>
        </w:rPr>
        <w:t xml:space="preserve"> published works, especially journals, which become available in digital format, unless they are iconic titles in the history of medical publishing or the quality of surrogate access is deemed insufficiently flexible or trustworthy.</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8.2.3 Superseded editions:</w:t>
      </w:r>
      <w:r w:rsidRPr="0059213B">
        <w:rPr>
          <w:rFonts w:ascii="Arial" w:hAnsi="Arial" w:cs="Arial"/>
        </w:rPr>
        <w:t xml:space="preserve"> some reference works and items in Special Collections when superseded by new editions.</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8.2.4 Relevance:</w:t>
      </w:r>
      <w:r w:rsidRPr="0059213B">
        <w:rPr>
          <w:rFonts w:ascii="Arial" w:hAnsi="Arial" w:cs="Arial"/>
        </w:rPr>
        <w:t xml:space="preserve"> items which SGUL now regards as falling outside its collecting remit and which would be more appropriately held in another collection in the public domain.</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8.2.5 Time limitation:</w:t>
      </w:r>
      <w:r w:rsidRPr="0059213B">
        <w:rPr>
          <w:rFonts w:ascii="Arial" w:hAnsi="Arial" w:cs="Arial"/>
        </w:rPr>
        <w:t xml:space="preserve"> items such as journals or databases that are not suitable for long-term preservation.</w:t>
      </w:r>
    </w:p>
    <w:p w:rsidRPr="0059213B" w:rsidR="0059213B" w:rsidP="0059213B" w:rsidRDefault="0059213B">
      <w:pPr>
        <w:rPr>
          <w:rFonts w:ascii="Arial" w:hAnsi="Arial" w:cs="Arial"/>
        </w:rPr>
      </w:pPr>
    </w:p>
    <w:p w:rsidRPr="0059213B" w:rsidR="0059213B" w:rsidP="0059213B" w:rsidRDefault="0059213B">
      <w:pPr>
        <w:rPr>
          <w:rFonts w:ascii="Arial" w:hAnsi="Arial" w:cs="Arial"/>
        </w:rPr>
      </w:pPr>
      <w:r w:rsidRPr="0059213B">
        <w:rPr>
          <w:rFonts w:ascii="Arial" w:hAnsi="Arial" w:cs="Arial"/>
          <w:b/>
        </w:rPr>
        <w:t>8.2.6 Physical deterioration or technical obsolescence:</w:t>
      </w:r>
      <w:r w:rsidRPr="0059213B">
        <w:rPr>
          <w:rFonts w:ascii="Arial" w:hAnsi="Arial" w:cs="Arial"/>
        </w:rPr>
        <w:t xml:space="preserve"> items deteriorated beyond economic repair, over-restored items, or items deemed to be beyond technical capability to preserve or make accessible. </w:t>
      </w:r>
    </w:p>
    <w:p w:rsidRPr="0059213B" w:rsidR="0059213B" w:rsidP="0059213B" w:rsidRDefault="0059213B">
      <w:pPr>
        <w:rPr>
          <w:rFonts w:ascii="Arial" w:hAnsi="Arial" w:cs="Arial"/>
        </w:rPr>
      </w:pPr>
    </w:p>
    <w:p w:rsidR="0059213B" w:rsidP="0059213B" w:rsidRDefault="0059213B">
      <w:pPr>
        <w:rPr>
          <w:rFonts w:ascii="Arial" w:hAnsi="Arial" w:cs="Arial"/>
        </w:rPr>
      </w:pPr>
      <w:r w:rsidRPr="0059213B">
        <w:rPr>
          <w:rFonts w:ascii="Arial" w:hAnsi="Arial" w:cs="Arial"/>
          <w:b/>
        </w:rPr>
        <w:t>8.2.7 Health risk:</w:t>
      </w:r>
      <w:r w:rsidRPr="0059213B">
        <w:rPr>
          <w:rFonts w:ascii="Arial" w:hAnsi="Arial" w:cs="Arial"/>
        </w:rPr>
        <w:t xml:space="preserve"> items which are infested, contaminated or hazardous, and which put people or other items at risk.</w:t>
      </w:r>
    </w:p>
    <w:p w:rsidR="0093584C" w:rsidRDefault="0093584C">
      <w:pPr>
        <w:rPr>
          <w:rFonts w:ascii="Arial" w:hAnsi="Arial" w:cs="Arial"/>
        </w:rPr>
      </w:pPr>
    </w:p>
    <w:p w:rsidR="00C17303" w:rsidP="00C17303" w:rsidRDefault="0059213B">
      <w:pPr>
        <w:pStyle w:val="Heading1"/>
        <w:keepNext w:val="0"/>
        <w:numPr>
          <w:ilvl w:val="0"/>
          <w:numId w:val="4"/>
        </w:numPr>
        <w:spacing w:before="0" w:after="0"/>
        <w:contextualSpacing/>
      </w:pPr>
      <w:bookmarkStart w:name="_Toc511643746" w:id="9"/>
      <w:r>
        <w:t>Policy Review Procedure</w:t>
      </w:r>
      <w:bookmarkEnd w:id="9"/>
    </w:p>
    <w:p w:rsidRPr="00C17303" w:rsidR="00C17303" w:rsidP="00C17303" w:rsidRDefault="00C17303"/>
    <w:p w:rsidR="00C3325B" w:rsidP="00C3325B" w:rsidRDefault="00C3325B">
      <w:pPr>
        <w:rPr>
          <w:rFonts w:ascii="Arial" w:hAnsi="Arial" w:cs="Arial"/>
        </w:rPr>
      </w:pPr>
      <w:r w:rsidRPr="00C3325B">
        <w:rPr>
          <w:rFonts w:ascii="Arial" w:hAnsi="Arial" w:cs="Arial"/>
        </w:rPr>
        <w:t>This policy will be reviewed annually by the Archivist to ensure that it meets the University’s operational and legal requirements.</w:t>
      </w:r>
    </w:p>
    <w:p w:rsidR="00C3325B" w:rsidP="00C3325B" w:rsidRDefault="00C3325B">
      <w:pPr>
        <w:rPr>
          <w:rFonts w:ascii="Arial" w:hAnsi="Arial" w:cs="Arial"/>
        </w:rPr>
      </w:pPr>
    </w:p>
    <w:p w:rsidR="00EC7CF6" w:rsidRDefault="00EC7CF6">
      <w:pPr>
        <w:rPr>
          <w:rFonts w:ascii="Arial" w:hAnsi="Arial" w:cs="Arial"/>
        </w:rPr>
      </w:pPr>
    </w:p>
    <w:p w:rsidR="003F5840" w:rsidP="00911372" w:rsidRDefault="003F5840">
      <w:pPr>
        <w:rPr>
          <w:rFonts w:ascii="Arial" w:hAnsi="Arial" w:cs="Arial"/>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A0" w:firstRow="1" w:lastRow="0" w:firstColumn="1" w:lastColumn="0" w:noHBand="0" w:noVBand="1"/>
      </w:tblPr>
      <w:tblGrid>
        <w:gridCol w:w="2450"/>
        <w:gridCol w:w="5843"/>
      </w:tblGrid>
      <w:tr w:rsidRPr="009F6293" w:rsidR="009A7340" w:rsidTr="009A7340">
        <w:tc>
          <w:tcPr>
            <w:tcW w:w="9242" w:type="dxa"/>
            <w:gridSpan w:val="2"/>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pPr>
              <w:jc w:val="both"/>
              <w:outlineLvl w:val="0"/>
              <w:rPr>
                <w:rFonts w:ascii="Arial" w:hAnsi="Arial" w:eastAsia="Arial"/>
                <w:bCs/>
              </w:rPr>
            </w:pPr>
            <w:bookmarkStart w:name="_Toc293961168" w:id="10"/>
            <w:bookmarkStart w:name="_Toc508895010" w:id="11"/>
            <w:bookmarkStart w:name="_Toc511643747" w:id="12"/>
            <w:r w:rsidRPr="00E46ED0">
              <w:rPr>
                <w:rFonts w:ascii="Arial" w:hAnsi="Arial" w:eastAsia="Arial"/>
                <w:bCs/>
              </w:rPr>
              <w:t>Document Information</w:t>
            </w:r>
            <w:bookmarkEnd w:id="10"/>
            <w:bookmarkEnd w:id="11"/>
            <w:bookmarkEnd w:id="12"/>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Document Name</w:t>
            </w:r>
          </w:p>
        </w:tc>
        <w:tc>
          <w:tcPr>
            <w:tcW w:w="6582" w:type="dxa"/>
            <w:shd w:val="clear" w:color="auto" w:fill="auto"/>
          </w:tcPr>
          <w:p w:rsidRPr="009F6293" w:rsidR="009A7340" w:rsidP="00DE0E40" w:rsidRDefault="00C3325B">
            <w:pPr>
              <w:rPr>
                <w:rFonts w:ascii="Arial" w:hAnsi="Arial" w:eastAsia="Arial"/>
                <w:sz w:val="22"/>
                <w:szCs w:val="22"/>
              </w:rPr>
            </w:pPr>
            <w:r>
              <w:rPr>
                <w:rFonts w:ascii="Arial" w:hAnsi="Arial" w:eastAsia="Arial"/>
                <w:sz w:val="22"/>
                <w:szCs w:val="22"/>
              </w:rPr>
              <w:t>Archives &amp; Special Collections</w:t>
            </w:r>
            <w:r w:rsidR="000A6593">
              <w:rPr>
                <w:rFonts w:ascii="Arial" w:hAnsi="Arial" w:eastAsia="Arial"/>
                <w:sz w:val="22"/>
                <w:szCs w:val="22"/>
              </w:rPr>
              <w:t xml:space="preserve"> Policy</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Author</w:t>
            </w:r>
          </w:p>
        </w:tc>
        <w:tc>
          <w:tcPr>
            <w:tcW w:w="6582" w:type="dxa"/>
            <w:shd w:val="clear" w:color="auto" w:fill="auto"/>
          </w:tcPr>
          <w:p w:rsidRPr="009F6293" w:rsidR="009A7340" w:rsidP="00DE0E40" w:rsidRDefault="00C3325B">
            <w:pPr>
              <w:rPr>
                <w:rFonts w:ascii="Arial" w:hAnsi="Arial" w:eastAsia="Arial"/>
                <w:sz w:val="22"/>
                <w:szCs w:val="22"/>
              </w:rPr>
            </w:pPr>
            <w:r>
              <w:rPr>
                <w:rFonts w:ascii="Arial" w:hAnsi="Arial" w:eastAsia="Arial"/>
                <w:sz w:val="22"/>
                <w:szCs w:val="22"/>
              </w:rPr>
              <w:t>Carly Manson, Archivist</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Issue Date</w:t>
            </w:r>
          </w:p>
        </w:tc>
        <w:tc>
          <w:tcPr>
            <w:tcW w:w="6582" w:type="dxa"/>
            <w:shd w:val="clear" w:color="auto" w:fill="auto"/>
          </w:tcPr>
          <w:p w:rsidRPr="009F6293" w:rsidR="009A7340" w:rsidP="00DE0E40" w:rsidRDefault="00C3325B">
            <w:pPr>
              <w:rPr>
                <w:rFonts w:ascii="Arial" w:hAnsi="Arial" w:eastAsia="Arial"/>
                <w:sz w:val="22"/>
                <w:szCs w:val="22"/>
              </w:rPr>
            </w:pPr>
            <w:r>
              <w:rPr>
                <w:rFonts w:ascii="Arial" w:hAnsi="Arial" w:eastAsia="Arial"/>
                <w:sz w:val="22"/>
                <w:szCs w:val="22"/>
              </w:rPr>
              <w:t>16/04</w:t>
            </w:r>
            <w:r w:rsidR="000A6593">
              <w:rPr>
                <w:rFonts w:ascii="Arial" w:hAnsi="Arial" w:eastAsia="Arial"/>
                <w:sz w:val="22"/>
                <w:szCs w:val="22"/>
              </w:rPr>
              <w:t>/2018</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Approved By</w:t>
            </w:r>
          </w:p>
        </w:tc>
        <w:tc>
          <w:tcPr>
            <w:tcW w:w="6582" w:type="dxa"/>
            <w:shd w:val="clear" w:color="auto" w:fill="auto"/>
          </w:tcPr>
          <w:p w:rsidRPr="009F6293" w:rsidR="009A7340" w:rsidP="00DE0E40" w:rsidRDefault="003468FE">
            <w:pPr>
              <w:rPr>
                <w:rFonts w:ascii="Arial" w:hAnsi="Arial" w:eastAsia="Arial"/>
                <w:sz w:val="22"/>
                <w:szCs w:val="22"/>
              </w:rPr>
            </w:pPr>
            <w:r>
              <w:rPr>
                <w:rFonts w:ascii="Arial" w:hAnsi="Arial" w:eastAsia="Arial"/>
                <w:sz w:val="22"/>
                <w:szCs w:val="22"/>
              </w:rPr>
              <w:t>Information Strategy Committee (ISC)</w:t>
            </w:r>
          </w:p>
        </w:tc>
      </w:tr>
      <w:tr w:rsidRPr="009F6293" w:rsidR="009F6293" w:rsidTr="00DE0E40">
        <w:tc>
          <w:tcPr>
            <w:tcW w:w="2660" w:type="dxa"/>
            <w:shd w:val="clear" w:color="auto" w:fill="auto"/>
          </w:tcPr>
          <w:p w:rsidRPr="009F6293" w:rsidR="009F6293" w:rsidP="00DE0E40" w:rsidRDefault="009F6293">
            <w:pPr>
              <w:rPr>
                <w:rFonts w:ascii="Arial" w:hAnsi="Arial" w:eastAsia="Arial"/>
                <w:sz w:val="22"/>
                <w:szCs w:val="22"/>
              </w:rPr>
            </w:pPr>
            <w:r w:rsidRPr="009F6293">
              <w:rPr>
                <w:rFonts w:ascii="Arial" w:hAnsi="Arial" w:eastAsia="Arial"/>
                <w:sz w:val="22"/>
                <w:szCs w:val="22"/>
              </w:rPr>
              <w:t>Last review</w:t>
            </w:r>
          </w:p>
        </w:tc>
        <w:tc>
          <w:tcPr>
            <w:tcW w:w="6582" w:type="dxa"/>
            <w:shd w:val="clear" w:color="auto" w:fill="auto"/>
          </w:tcPr>
          <w:p w:rsidRPr="009F6293" w:rsidR="009F6293" w:rsidP="00DE0E40" w:rsidRDefault="003468FE">
            <w:pPr>
              <w:rPr>
                <w:rFonts w:ascii="Arial" w:hAnsi="Arial" w:eastAsia="Arial"/>
                <w:sz w:val="22"/>
                <w:szCs w:val="22"/>
              </w:rPr>
            </w:pPr>
            <w:r>
              <w:rPr>
                <w:rFonts w:ascii="Arial" w:hAnsi="Arial" w:eastAsia="Arial"/>
                <w:sz w:val="22"/>
                <w:szCs w:val="22"/>
              </w:rPr>
              <w:t>16/04/2018</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Next review</w:t>
            </w:r>
          </w:p>
        </w:tc>
        <w:tc>
          <w:tcPr>
            <w:tcW w:w="6582" w:type="dxa"/>
            <w:shd w:val="clear" w:color="auto" w:fill="auto"/>
          </w:tcPr>
          <w:p w:rsidRPr="009F6293" w:rsidR="009A7340" w:rsidP="00DE0E40" w:rsidRDefault="0022734D">
            <w:pPr>
              <w:rPr>
                <w:rFonts w:ascii="Arial" w:hAnsi="Arial" w:eastAsia="Arial"/>
                <w:sz w:val="22"/>
                <w:szCs w:val="22"/>
              </w:rPr>
            </w:pPr>
            <w:r>
              <w:rPr>
                <w:rFonts w:ascii="Arial" w:hAnsi="Arial" w:eastAsia="Arial"/>
                <w:sz w:val="22"/>
                <w:szCs w:val="22"/>
              </w:rPr>
              <w:t>April 2019</w:t>
            </w:r>
          </w:p>
        </w:tc>
      </w:tr>
      <w:tr w:rsidRPr="009F6293" w:rsidR="00DB68C7" w:rsidTr="00DB68C7">
        <w:trPr>
          <w:trHeight w:val="1055"/>
        </w:trPr>
        <w:tc>
          <w:tcPr>
            <w:tcW w:w="2660" w:type="dxa"/>
            <w:shd w:val="clear" w:color="auto" w:fill="auto"/>
          </w:tcPr>
          <w:p w:rsidRPr="009F6293" w:rsidR="00DB68C7" w:rsidP="00DE0E40" w:rsidRDefault="00DB68C7">
            <w:pPr>
              <w:rPr>
                <w:rFonts w:ascii="Arial" w:hAnsi="Arial" w:eastAsia="Arial"/>
                <w:sz w:val="22"/>
                <w:szCs w:val="22"/>
              </w:rPr>
            </w:pPr>
            <w:r>
              <w:rPr>
                <w:rFonts w:ascii="Arial" w:hAnsi="Arial" w:eastAsia="Arial"/>
                <w:sz w:val="22"/>
                <w:szCs w:val="22"/>
              </w:rPr>
              <w:t>Related policies</w:t>
            </w:r>
          </w:p>
        </w:tc>
        <w:tc>
          <w:tcPr>
            <w:tcW w:w="6582" w:type="dxa"/>
            <w:shd w:val="clear" w:color="auto" w:fill="auto"/>
          </w:tcPr>
          <w:p w:rsidR="00C17303" w:rsidP="00C17303" w:rsidRDefault="00C17303">
            <w:pPr>
              <w:rPr>
                <w:rFonts w:ascii="Arial" w:hAnsi="Arial" w:eastAsia="Arial"/>
                <w:sz w:val="22"/>
                <w:szCs w:val="22"/>
              </w:rPr>
            </w:pPr>
            <w:r w:rsidRPr="00C17303">
              <w:rPr>
                <w:rFonts w:ascii="Arial" w:hAnsi="Arial" w:eastAsia="Arial"/>
                <w:sz w:val="22"/>
                <w:szCs w:val="22"/>
              </w:rPr>
              <w:t>Archives &amp; Special Collections Policy</w:t>
            </w:r>
          </w:p>
          <w:p w:rsidRPr="00C17303" w:rsidR="00C17303" w:rsidP="00C17303" w:rsidRDefault="00C17303">
            <w:pPr>
              <w:rPr>
                <w:rFonts w:ascii="Arial" w:hAnsi="Arial" w:eastAsia="Arial"/>
                <w:sz w:val="22"/>
                <w:szCs w:val="22"/>
              </w:rPr>
            </w:pPr>
          </w:p>
          <w:p w:rsidR="00C17303" w:rsidP="00C17303" w:rsidRDefault="00C17303">
            <w:pPr>
              <w:rPr>
                <w:rFonts w:ascii="Arial" w:hAnsi="Arial" w:eastAsia="Arial"/>
                <w:sz w:val="22"/>
                <w:szCs w:val="22"/>
              </w:rPr>
            </w:pPr>
            <w:r w:rsidRPr="00C17303">
              <w:rPr>
                <w:rFonts w:ascii="Arial" w:hAnsi="Arial" w:eastAsia="Arial"/>
                <w:sz w:val="22"/>
                <w:szCs w:val="22"/>
              </w:rPr>
              <w:t>Archives &amp; Special Collections Access Policy</w:t>
            </w:r>
          </w:p>
          <w:p w:rsidRPr="00C17303" w:rsidR="00C17303" w:rsidP="00C17303" w:rsidRDefault="00C17303">
            <w:pPr>
              <w:rPr>
                <w:rFonts w:ascii="Arial" w:hAnsi="Arial" w:eastAsia="Arial"/>
                <w:sz w:val="22"/>
                <w:szCs w:val="22"/>
              </w:rPr>
            </w:pPr>
          </w:p>
          <w:p w:rsidR="00C17303" w:rsidP="00C17303" w:rsidRDefault="00C17303">
            <w:pPr>
              <w:rPr>
                <w:rFonts w:ascii="Arial" w:hAnsi="Arial" w:eastAsia="Arial"/>
                <w:sz w:val="22"/>
                <w:szCs w:val="22"/>
              </w:rPr>
            </w:pPr>
            <w:r w:rsidRPr="00C17303">
              <w:rPr>
                <w:rFonts w:ascii="Arial" w:hAnsi="Arial" w:eastAsia="Arial"/>
                <w:sz w:val="22"/>
                <w:szCs w:val="22"/>
              </w:rPr>
              <w:t>Loan of Archive Items for Exhibition: Terms and Conditions</w:t>
            </w:r>
          </w:p>
          <w:p w:rsidRPr="00C17303" w:rsidR="00C17303" w:rsidP="00C17303" w:rsidRDefault="00C17303">
            <w:pPr>
              <w:rPr>
                <w:rFonts w:ascii="Arial" w:hAnsi="Arial" w:eastAsia="Arial"/>
                <w:sz w:val="22"/>
                <w:szCs w:val="22"/>
              </w:rPr>
            </w:pPr>
          </w:p>
          <w:p w:rsidR="00C17303" w:rsidP="00C17303" w:rsidRDefault="00C17303">
            <w:pPr>
              <w:rPr>
                <w:rFonts w:ascii="Arial" w:hAnsi="Arial" w:eastAsia="Arial"/>
                <w:sz w:val="22"/>
                <w:szCs w:val="22"/>
              </w:rPr>
            </w:pPr>
            <w:r w:rsidRPr="00C17303">
              <w:rPr>
                <w:rFonts w:ascii="Arial" w:hAnsi="Arial" w:eastAsia="Arial"/>
                <w:sz w:val="22"/>
                <w:szCs w:val="22"/>
              </w:rPr>
              <w:t>Records Management Policy</w:t>
            </w:r>
          </w:p>
          <w:p w:rsidRPr="00C17303" w:rsidR="00C17303" w:rsidP="00C17303" w:rsidRDefault="00C17303">
            <w:pPr>
              <w:rPr>
                <w:rFonts w:ascii="Arial" w:hAnsi="Arial" w:eastAsia="Arial"/>
                <w:sz w:val="22"/>
                <w:szCs w:val="22"/>
              </w:rPr>
            </w:pPr>
          </w:p>
          <w:p w:rsidRPr="00C17303" w:rsidR="00C17303" w:rsidP="00C17303" w:rsidRDefault="00C17303">
            <w:pPr>
              <w:rPr>
                <w:rFonts w:ascii="Arial" w:hAnsi="Arial" w:eastAsia="Arial"/>
                <w:sz w:val="22"/>
                <w:szCs w:val="22"/>
              </w:rPr>
            </w:pPr>
            <w:r w:rsidRPr="00C17303">
              <w:rPr>
                <w:rFonts w:ascii="Arial" w:hAnsi="Arial" w:eastAsia="Arial"/>
                <w:sz w:val="22"/>
                <w:szCs w:val="22"/>
              </w:rPr>
              <w:t>Retention and Disposal Policy</w:t>
            </w:r>
          </w:p>
          <w:p w:rsidRPr="009F6293" w:rsidR="00DB68C7" w:rsidP="0093584C" w:rsidRDefault="00DB68C7">
            <w:pPr>
              <w:rPr>
                <w:rFonts w:ascii="Arial" w:hAnsi="Arial" w:eastAsia="Arial"/>
                <w:sz w:val="22"/>
                <w:szCs w:val="22"/>
              </w:rPr>
            </w:pPr>
          </w:p>
        </w:tc>
      </w:tr>
    </w:tbl>
    <w:p w:rsidRPr="009F6293" w:rsidR="009A7340" w:rsidP="00911372" w:rsidRDefault="009A7340">
      <w:pPr>
        <w:rPr>
          <w:rFonts w:ascii="Arial" w:hAnsi="Arial" w:cs="Arial"/>
          <w:sz w:val="22"/>
          <w:szCs w:val="22"/>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20" w:firstRow="1" w:lastRow="0" w:firstColumn="0" w:lastColumn="0" w:noHBand="0" w:noVBand="1"/>
      </w:tblPr>
      <w:tblGrid>
        <w:gridCol w:w="1078"/>
        <w:gridCol w:w="1318"/>
        <w:gridCol w:w="5897"/>
      </w:tblGrid>
      <w:tr w:rsidRPr="009F6293" w:rsidR="009A7340" w:rsidTr="00E46ED0">
        <w:tc>
          <w:tcPr>
            <w:tcW w:w="8293" w:type="dxa"/>
            <w:gridSpan w:val="3"/>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pPr>
              <w:outlineLvl w:val="0"/>
              <w:rPr>
                <w:rFonts w:ascii="Arial" w:hAnsi="Arial" w:eastAsia="Arial"/>
                <w:bCs/>
              </w:rPr>
            </w:pPr>
            <w:bookmarkStart w:name="_Toc293961169" w:id="13"/>
            <w:bookmarkStart w:name="_Toc508895011" w:id="14"/>
            <w:bookmarkStart w:name="_Toc511643748" w:id="15"/>
            <w:r w:rsidRPr="00E46ED0">
              <w:rPr>
                <w:rFonts w:ascii="Arial" w:hAnsi="Arial" w:eastAsia="Arial"/>
                <w:bCs/>
              </w:rPr>
              <w:t>Document History</w:t>
            </w:r>
            <w:bookmarkEnd w:id="13"/>
            <w:bookmarkEnd w:id="14"/>
            <w:bookmarkEnd w:id="15"/>
          </w:p>
        </w:tc>
      </w:tr>
      <w:tr w:rsidRPr="009F6293" w:rsidR="009A7340" w:rsidTr="00F41862">
        <w:tc>
          <w:tcPr>
            <w:tcW w:w="1078" w:type="dxa"/>
            <w:shd w:val="clear" w:color="auto" w:fill="auto"/>
          </w:tcPr>
          <w:p w:rsidRPr="000B7DE4" w:rsidR="009A7340" w:rsidP="00DE0E40" w:rsidRDefault="009A7340">
            <w:pPr>
              <w:rPr>
                <w:rFonts w:ascii="Arial" w:hAnsi="Arial" w:eastAsia="Arial"/>
                <w:sz w:val="22"/>
                <w:szCs w:val="22"/>
              </w:rPr>
            </w:pPr>
            <w:r w:rsidRPr="000B7DE4">
              <w:rPr>
                <w:rFonts w:ascii="Arial" w:hAnsi="Arial" w:eastAsia="Arial"/>
                <w:sz w:val="22"/>
                <w:szCs w:val="22"/>
              </w:rPr>
              <w:t>Version</w:t>
            </w:r>
          </w:p>
        </w:tc>
        <w:tc>
          <w:tcPr>
            <w:tcW w:w="1309" w:type="dxa"/>
            <w:shd w:val="clear" w:color="auto" w:fill="auto"/>
          </w:tcPr>
          <w:p w:rsidRPr="000B7DE4" w:rsidR="009A7340" w:rsidP="00DE0E40" w:rsidRDefault="009A7340">
            <w:pPr>
              <w:rPr>
                <w:rFonts w:ascii="Arial" w:hAnsi="Arial" w:eastAsia="Arial"/>
                <w:sz w:val="22"/>
                <w:szCs w:val="22"/>
              </w:rPr>
            </w:pPr>
            <w:r w:rsidRPr="000B7DE4">
              <w:rPr>
                <w:rFonts w:ascii="Arial" w:hAnsi="Arial" w:eastAsia="Arial"/>
                <w:sz w:val="22"/>
                <w:szCs w:val="22"/>
              </w:rPr>
              <w:t>Date</w:t>
            </w:r>
          </w:p>
        </w:tc>
        <w:tc>
          <w:tcPr>
            <w:tcW w:w="5906"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Summary of change</w:t>
            </w:r>
          </w:p>
        </w:tc>
      </w:tr>
      <w:tr w:rsidRPr="00FC76D5" w:rsidR="009A7340" w:rsidTr="00F41862">
        <w:tc>
          <w:tcPr>
            <w:tcW w:w="1078" w:type="dxa"/>
            <w:shd w:val="clear" w:color="auto" w:fill="auto"/>
          </w:tcPr>
          <w:p w:rsidRPr="000B7DE4" w:rsidR="009A7340" w:rsidP="00DE0E40" w:rsidRDefault="00F41862">
            <w:pPr>
              <w:rPr>
                <w:rFonts w:ascii="Arial" w:hAnsi="Arial" w:eastAsia="Arial"/>
                <w:sz w:val="22"/>
                <w:szCs w:val="22"/>
              </w:rPr>
            </w:pPr>
            <w:r w:rsidRPr="000B7DE4">
              <w:rPr>
                <w:rFonts w:ascii="Arial" w:hAnsi="Arial" w:eastAsia="Arial"/>
                <w:sz w:val="22"/>
                <w:szCs w:val="22"/>
              </w:rPr>
              <w:t>1</w:t>
            </w:r>
          </w:p>
        </w:tc>
        <w:tc>
          <w:tcPr>
            <w:tcW w:w="1309" w:type="dxa"/>
            <w:shd w:val="clear" w:color="auto" w:fill="auto"/>
          </w:tcPr>
          <w:p w:rsidRPr="000B7DE4" w:rsidR="009A7340" w:rsidP="00F41862" w:rsidRDefault="00F41862">
            <w:pPr>
              <w:rPr>
                <w:rFonts w:ascii="Arial" w:hAnsi="Arial" w:eastAsia="Arial"/>
                <w:sz w:val="22"/>
                <w:szCs w:val="22"/>
              </w:rPr>
            </w:pPr>
            <w:r w:rsidRPr="000B7DE4">
              <w:rPr>
                <w:rFonts w:ascii="Arial" w:hAnsi="Arial" w:eastAsia="Arial"/>
                <w:sz w:val="22"/>
                <w:szCs w:val="22"/>
              </w:rPr>
              <w:t>16/04/2018</w:t>
            </w:r>
          </w:p>
        </w:tc>
        <w:tc>
          <w:tcPr>
            <w:tcW w:w="5906" w:type="dxa"/>
            <w:shd w:val="clear" w:color="auto" w:fill="auto"/>
          </w:tcPr>
          <w:p w:rsidRPr="00A36E53" w:rsidR="009A7340" w:rsidP="00DE0E40" w:rsidRDefault="00A36E53">
            <w:pPr>
              <w:rPr>
                <w:rFonts w:ascii="Arial" w:hAnsi="Arial" w:eastAsia="Arial"/>
                <w:sz w:val="22"/>
                <w:szCs w:val="22"/>
              </w:rPr>
            </w:pPr>
            <w:r w:rsidRPr="00A36E53">
              <w:rPr>
                <w:rFonts w:ascii="Arial" w:hAnsi="Arial" w:eastAsia="Arial"/>
                <w:sz w:val="22"/>
                <w:szCs w:val="22"/>
              </w:rPr>
              <w:t>Policy created and approved.</w:t>
            </w:r>
          </w:p>
        </w:tc>
      </w:tr>
      <w:tr w:rsidRPr="00FC76D5" w:rsidR="009A7340" w:rsidTr="00F41862">
        <w:tc>
          <w:tcPr>
            <w:tcW w:w="1078" w:type="dxa"/>
            <w:shd w:val="clear" w:color="auto" w:fill="auto"/>
          </w:tcPr>
          <w:p w:rsidRPr="000B7DE4" w:rsidR="009A7340" w:rsidP="00DE0E40" w:rsidRDefault="000B7DE4">
            <w:pPr>
              <w:rPr>
                <w:rFonts w:ascii="Arial" w:hAnsi="Arial" w:eastAsia="Arial"/>
                <w:sz w:val="22"/>
                <w:szCs w:val="22"/>
              </w:rPr>
            </w:pPr>
            <w:r w:rsidRPr="000B7DE4">
              <w:rPr>
                <w:rFonts w:ascii="Arial" w:hAnsi="Arial" w:eastAsia="Arial"/>
                <w:sz w:val="22"/>
                <w:szCs w:val="22"/>
              </w:rPr>
              <w:t>2</w:t>
            </w:r>
          </w:p>
        </w:tc>
        <w:tc>
          <w:tcPr>
            <w:tcW w:w="1309" w:type="dxa"/>
            <w:shd w:val="clear" w:color="auto" w:fill="auto"/>
          </w:tcPr>
          <w:p w:rsidRPr="009C5D1B" w:rsidR="009A7340" w:rsidP="00DE0E40" w:rsidRDefault="00C52CA3">
            <w:pPr>
              <w:rPr>
                <w:rFonts w:ascii="Arial" w:hAnsi="Arial" w:eastAsia="Arial"/>
                <w:sz w:val="22"/>
                <w:szCs w:val="22"/>
              </w:rPr>
            </w:pPr>
            <w:r>
              <w:rPr>
                <w:rFonts w:ascii="Arial" w:hAnsi="Arial" w:eastAsia="Arial"/>
                <w:sz w:val="22"/>
                <w:szCs w:val="22"/>
              </w:rPr>
              <w:t>04/09</w:t>
            </w:r>
            <w:r w:rsidRPr="009C5D1B" w:rsidR="000B7DE4">
              <w:rPr>
                <w:rFonts w:ascii="Arial" w:hAnsi="Arial" w:eastAsia="Arial"/>
                <w:sz w:val="22"/>
                <w:szCs w:val="22"/>
              </w:rPr>
              <w:t>/2019</w:t>
            </w:r>
          </w:p>
        </w:tc>
        <w:tc>
          <w:tcPr>
            <w:tcW w:w="5906" w:type="dxa"/>
            <w:shd w:val="clear" w:color="auto" w:fill="auto"/>
          </w:tcPr>
          <w:p w:rsidR="009A7340" w:rsidP="00DE0E40" w:rsidRDefault="009C5D1B">
            <w:pPr>
              <w:rPr>
                <w:rFonts w:ascii="Arial" w:hAnsi="Arial" w:eastAsia="Arial"/>
                <w:sz w:val="22"/>
                <w:szCs w:val="22"/>
              </w:rPr>
            </w:pPr>
            <w:r>
              <w:rPr>
                <w:rFonts w:ascii="Arial" w:hAnsi="Arial" w:eastAsia="Arial"/>
                <w:sz w:val="22"/>
                <w:szCs w:val="22"/>
              </w:rPr>
              <w:t xml:space="preserve">Policy reviewed. </w:t>
            </w:r>
            <w:r w:rsidR="00C52CA3">
              <w:rPr>
                <w:rFonts w:ascii="Arial" w:hAnsi="Arial" w:eastAsia="Arial"/>
                <w:sz w:val="22"/>
                <w:szCs w:val="22"/>
              </w:rPr>
              <w:t>Added sub-heading ‘</w:t>
            </w:r>
            <w:r w:rsidRPr="00C52CA3" w:rsidR="00C52CA3">
              <w:rPr>
                <w:rFonts w:ascii="Arial" w:hAnsi="Arial" w:eastAsia="Arial"/>
                <w:sz w:val="22"/>
                <w:szCs w:val="22"/>
              </w:rPr>
              <w:t>1.1 Mission Statement</w:t>
            </w:r>
            <w:r w:rsidR="00C52CA3">
              <w:rPr>
                <w:rFonts w:ascii="Arial" w:hAnsi="Arial" w:eastAsia="Arial"/>
                <w:sz w:val="22"/>
                <w:szCs w:val="22"/>
              </w:rPr>
              <w:t>’ to the mission statement within the introduction section.</w:t>
            </w:r>
          </w:p>
          <w:p w:rsidR="005202C1" w:rsidP="00DE0E40" w:rsidRDefault="005202C1">
            <w:pPr>
              <w:rPr>
                <w:rFonts w:ascii="Arial" w:hAnsi="Arial" w:eastAsia="Arial"/>
                <w:sz w:val="22"/>
                <w:szCs w:val="22"/>
              </w:rPr>
            </w:pPr>
          </w:p>
          <w:p w:rsidR="005202C1" w:rsidP="00DE0E40" w:rsidRDefault="005202C1">
            <w:pPr>
              <w:rPr>
                <w:rFonts w:ascii="Arial" w:hAnsi="Arial" w:cs="Arial"/>
                <w:sz w:val="22"/>
                <w:szCs w:val="22"/>
              </w:rPr>
            </w:pPr>
            <w:r>
              <w:rPr>
                <w:rFonts w:ascii="Arial" w:hAnsi="Arial" w:eastAsia="Arial"/>
                <w:sz w:val="22"/>
                <w:szCs w:val="22"/>
              </w:rPr>
              <w:t xml:space="preserve">Section 4- </w:t>
            </w:r>
            <w:r w:rsidRPr="005202C1">
              <w:rPr>
                <w:rFonts w:ascii="Arial" w:hAnsi="Arial" w:eastAsia="Arial"/>
                <w:sz w:val="22"/>
                <w:szCs w:val="22"/>
              </w:rPr>
              <w:t xml:space="preserve">added </w:t>
            </w:r>
            <w:r w:rsidRPr="005202C1">
              <w:rPr>
                <w:rFonts w:ascii="Arial" w:hAnsi="Arial" w:cs="Arial"/>
                <w:sz w:val="22"/>
                <w:szCs w:val="22"/>
              </w:rPr>
              <w:t>‘other formats as deemed appropriate’</w:t>
            </w:r>
            <w:r>
              <w:rPr>
                <w:rFonts w:ascii="Arial" w:hAnsi="Arial" w:cs="Arial"/>
                <w:sz w:val="22"/>
                <w:szCs w:val="22"/>
              </w:rPr>
              <w:t>.</w:t>
            </w:r>
          </w:p>
          <w:p w:rsidR="005202C1" w:rsidP="00DE0E40" w:rsidRDefault="005202C1">
            <w:pPr>
              <w:rPr>
                <w:rFonts w:ascii="Arial" w:hAnsi="Arial" w:cs="Arial"/>
                <w:sz w:val="22"/>
                <w:szCs w:val="22"/>
              </w:rPr>
            </w:pPr>
          </w:p>
          <w:p w:rsidRPr="009C5D1B" w:rsidR="005202C1" w:rsidP="00DE0E40" w:rsidRDefault="00BF5DE9">
            <w:pPr>
              <w:rPr>
                <w:rFonts w:ascii="Arial" w:hAnsi="Arial" w:eastAsia="Arial"/>
                <w:sz w:val="22"/>
                <w:szCs w:val="22"/>
              </w:rPr>
            </w:pPr>
            <w:r>
              <w:rPr>
                <w:rFonts w:ascii="Arial" w:hAnsi="Arial" w:eastAsia="Arial"/>
                <w:sz w:val="22"/>
                <w:szCs w:val="22"/>
              </w:rPr>
              <w:t>Section 5.4- referenced retention schedules and where these can be located on SGUL website.</w:t>
            </w:r>
          </w:p>
        </w:tc>
      </w:tr>
      <w:tr w:rsidRPr="00FC76D5" w:rsidR="009A7340" w:rsidTr="00F41862">
        <w:tc>
          <w:tcPr>
            <w:tcW w:w="1078" w:type="dxa"/>
            <w:shd w:val="clear" w:color="auto" w:fill="auto"/>
          </w:tcPr>
          <w:p w:rsidRPr="002E3F08" w:rsidR="009A7340" w:rsidP="00DE0E40" w:rsidRDefault="002E3F08">
            <w:pPr>
              <w:rPr>
                <w:rFonts w:ascii="Arial" w:hAnsi="Arial" w:eastAsia="Arial"/>
                <w:sz w:val="22"/>
                <w:szCs w:val="22"/>
              </w:rPr>
            </w:pPr>
            <w:r w:rsidRPr="002E3F08">
              <w:rPr>
                <w:rFonts w:ascii="Arial" w:hAnsi="Arial" w:eastAsia="Arial"/>
                <w:sz w:val="22"/>
                <w:szCs w:val="22"/>
              </w:rPr>
              <w:t>2</w:t>
            </w:r>
          </w:p>
        </w:tc>
        <w:tc>
          <w:tcPr>
            <w:tcW w:w="1309" w:type="dxa"/>
            <w:shd w:val="clear" w:color="auto" w:fill="auto"/>
          </w:tcPr>
          <w:p w:rsidRPr="002E3F08" w:rsidR="009A7340" w:rsidP="00DE0E40" w:rsidRDefault="002E3F08">
            <w:pPr>
              <w:rPr>
                <w:rFonts w:ascii="Arial" w:hAnsi="Arial" w:eastAsia="Arial"/>
                <w:sz w:val="22"/>
                <w:szCs w:val="22"/>
              </w:rPr>
            </w:pPr>
            <w:r w:rsidRPr="002E3F08">
              <w:rPr>
                <w:rFonts w:ascii="Arial" w:hAnsi="Arial" w:eastAsia="Arial"/>
                <w:sz w:val="22"/>
                <w:szCs w:val="22"/>
              </w:rPr>
              <w:t>07/10/2019</w:t>
            </w:r>
          </w:p>
        </w:tc>
        <w:tc>
          <w:tcPr>
            <w:tcW w:w="5906" w:type="dxa"/>
            <w:shd w:val="clear" w:color="auto" w:fill="auto"/>
          </w:tcPr>
          <w:p w:rsidRPr="002E3F08" w:rsidR="009A7340" w:rsidP="00DE0E40" w:rsidRDefault="002E3F08">
            <w:pPr>
              <w:rPr>
                <w:rFonts w:ascii="Arial" w:hAnsi="Arial" w:eastAsia="Arial"/>
                <w:sz w:val="22"/>
                <w:szCs w:val="22"/>
              </w:rPr>
            </w:pPr>
            <w:r w:rsidRPr="002E3F08">
              <w:rPr>
                <w:rFonts w:ascii="Arial" w:hAnsi="Arial" w:eastAsia="Arial"/>
                <w:sz w:val="22"/>
                <w:szCs w:val="22"/>
              </w:rPr>
              <w:t>Changes approved by Information Governance Steering Group (IGSG).</w:t>
            </w:r>
          </w:p>
        </w:tc>
      </w:tr>
      <w:tr w:rsidRPr="00FC76D5" w:rsidR="009A7340" w:rsidTr="00F41862">
        <w:tc>
          <w:tcPr>
            <w:tcW w:w="1078" w:type="dxa"/>
            <w:shd w:val="clear" w:color="auto" w:fill="auto"/>
          </w:tcPr>
          <w:p w:rsidRPr="00FC76D5" w:rsidR="009A7340" w:rsidP="00DE0E40" w:rsidRDefault="009A7340">
            <w:pPr>
              <w:rPr>
                <w:rFonts w:ascii="Arial" w:hAnsi="Arial" w:eastAsia="Arial"/>
              </w:rPr>
            </w:pPr>
          </w:p>
        </w:tc>
        <w:tc>
          <w:tcPr>
            <w:tcW w:w="1309" w:type="dxa"/>
            <w:shd w:val="clear" w:color="auto" w:fill="auto"/>
          </w:tcPr>
          <w:p w:rsidRPr="00FC76D5" w:rsidR="009A7340" w:rsidP="00DE0E40" w:rsidRDefault="009A7340">
            <w:pPr>
              <w:rPr>
                <w:rFonts w:ascii="Arial" w:hAnsi="Arial" w:eastAsia="Arial"/>
              </w:rPr>
            </w:pPr>
          </w:p>
        </w:tc>
        <w:tc>
          <w:tcPr>
            <w:tcW w:w="5906" w:type="dxa"/>
            <w:shd w:val="clear" w:color="auto" w:fill="auto"/>
          </w:tcPr>
          <w:p w:rsidRPr="00FC76D5" w:rsidR="009A7340" w:rsidP="00DE0E40" w:rsidRDefault="009A7340">
            <w:pPr>
              <w:rPr>
                <w:rFonts w:ascii="Arial" w:hAnsi="Arial" w:eastAsia="Arial"/>
              </w:rPr>
            </w:pPr>
          </w:p>
        </w:tc>
      </w:tr>
      <w:tr w:rsidRPr="00FC76D5" w:rsidR="009A7340" w:rsidTr="00F41862">
        <w:tc>
          <w:tcPr>
            <w:tcW w:w="1078" w:type="dxa"/>
            <w:shd w:val="clear" w:color="auto" w:fill="auto"/>
          </w:tcPr>
          <w:p w:rsidRPr="00FC76D5" w:rsidR="009A7340" w:rsidP="00DE0E40" w:rsidRDefault="009A7340">
            <w:pPr>
              <w:rPr>
                <w:rFonts w:ascii="Arial" w:hAnsi="Arial" w:eastAsia="Arial"/>
              </w:rPr>
            </w:pPr>
          </w:p>
        </w:tc>
        <w:tc>
          <w:tcPr>
            <w:tcW w:w="1309" w:type="dxa"/>
            <w:shd w:val="clear" w:color="auto" w:fill="auto"/>
          </w:tcPr>
          <w:p w:rsidRPr="00FC76D5" w:rsidR="009A7340" w:rsidP="00DE0E40" w:rsidRDefault="009A7340">
            <w:pPr>
              <w:rPr>
                <w:rFonts w:ascii="Arial" w:hAnsi="Arial" w:eastAsia="Arial"/>
              </w:rPr>
            </w:pPr>
          </w:p>
        </w:tc>
        <w:tc>
          <w:tcPr>
            <w:tcW w:w="5906" w:type="dxa"/>
            <w:shd w:val="clear" w:color="auto" w:fill="auto"/>
          </w:tcPr>
          <w:p w:rsidRPr="00FC76D5" w:rsidR="009A7340" w:rsidP="00DE0E40" w:rsidRDefault="009A7340">
            <w:pPr>
              <w:rPr>
                <w:rFonts w:ascii="Arial" w:hAnsi="Arial" w:eastAsia="Arial"/>
              </w:rPr>
            </w:pPr>
          </w:p>
        </w:tc>
      </w:tr>
    </w:tbl>
    <w:p w:rsidR="009A7340" w:rsidP="00911372" w:rsidRDefault="009A7340">
      <w:pPr>
        <w:rPr>
          <w:rFonts w:ascii="Arial" w:hAnsi="Arial" w:cs="Arial"/>
        </w:rPr>
      </w:pPr>
      <w:bookmarkStart w:name="_GoBack" w:id="16"/>
      <w:bookmarkEnd w:id="16"/>
    </w:p>
    <w:sectPr w:rsidR="009A7340" w:rsidSect="00AD49F6">
      <w:headerReference w:type="even" r:id="rId9"/>
      <w:headerReference w:type="default" r:id="rId10"/>
      <w:headerReference w:type="first" r:id="rId11"/>
      <w:pgSz w:w="11907" w:h="16840" w:code="9"/>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2E" w:rsidRDefault="009A402E" w:rsidP="009754C9">
      <w:r>
        <w:separator/>
      </w:r>
    </w:p>
  </w:endnote>
  <w:endnote w:type="continuationSeparator" w:id="0">
    <w:p w:rsidR="009A402E" w:rsidRDefault="009A402E" w:rsidP="009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2E" w:rsidRDefault="009A402E" w:rsidP="009754C9">
      <w:r>
        <w:separator/>
      </w:r>
    </w:p>
  </w:footnote>
  <w:footnote w:type="continuationSeparator" w:id="0">
    <w:p w:rsidR="009A402E" w:rsidRDefault="009A402E" w:rsidP="0097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C9" w:rsidRDefault="00975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C9" w:rsidRDefault="00975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C9" w:rsidRDefault="00975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C0113A"/>
    <w:multiLevelType w:val="hybridMultilevel"/>
    <w:tmpl w:val="4B38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624285"/>
    <w:multiLevelType w:val="hybridMultilevel"/>
    <w:tmpl w:val="F788A0C8"/>
    <w:lvl w:ilvl="0" w:tplc="F9F4D244">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4ED03F8E"/>
    <w:multiLevelType w:val="multilevel"/>
    <w:tmpl w:val="C9D20426"/>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bullet"/>
      <w:lvlText w:val=""/>
      <w:lvlJc w:val="left"/>
      <w:pPr>
        <w:ind w:left="720" w:hanging="720"/>
      </w:pPr>
      <w:rPr>
        <w:rFonts w:ascii="Wingdings" w:hAnsi="Wingding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51446775"/>
    <w:multiLevelType w:val="multilevel"/>
    <w:tmpl w:val="DB98D82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6B9E63ED"/>
    <w:multiLevelType w:val="hybridMultilevel"/>
    <w:tmpl w:val="3CF04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97"/>
    <w:rsid w:val="00007553"/>
    <w:rsid w:val="00012249"/>
    <w:rsid w:val="0001315B"/>
    <w:rsid w:val="00022862"/>
    <w:rsid w:val="00024A18"/>
    <w:rsid w:val="0002520A"/>
    <w:rsid w:val="00031B8D"/>
    <w:rsid w:val="00031BF5"/>
    <w:rsid w:val="000349BA"/>
    <w:rsid w:val="00044DD7"/>
    <w:rsid w:val="00047134"/>
    <w:rsid w:val="000571F5"/>
    <w:rsid w:val="00063ABE"/>
    <w:rsid w:val="00066E30"/>
    <w:rsid w:val="0007622F"/>
    <w:rsid w:val="00080BF1"/>
    <w:rsid w:val="0008132E"/>
    <w:rsid w:val="00085A70"/>
    <w:rsid w:val="000924E9"/>
    <w:rsid w:val="00094D6C"/>
    <w:rsid w:val="000A2FD1"/>
    <w:rsid w:val="000A3D62"/>
    <w:rsid w:val="000A4F41"/>
    <w:rsid w:val="000A6593"/>
    <w:rsid w:val="000A669C"/>
    <w:rsid w:val="000B2452"/>
    <w:rsid w:val="000B7DE4"/>
    <w:rsid w:val="000D14DE"/>
    <w:rsid w:val="000D4C22"/>
    <w:rsid w:val="000D7F09"/>
    <w:rsid w:val="000E4349"/>
    <w:rsid w:val="000E7875"/>
    <w:rsid w:val="000F2000"/>
    <w:rsid w:val="000F66E6"/>
    <w:rsid w:val="00105A24"/>
    <w:rsid w:val="00112C9D"/>
    <w:rsid w:val="00117F5D"/>
    <w:rsid w:val="00124818"/>
    <w:rsid w:val="001266E7"/>
    <w:rsid w:val="00126F7A"/>
    <w:rsid w:val="00135F38"/>
    <w:rsid w:val="00140C8C"/>
    <w:rsid w:val="0014490D"/>
    <w:rsid w:val="0015085D"/>
    <w:rsid w:val="001704D7"/>
    <w:rsid w:val="0017570C"/>
    <w:rsid w:val="00176ADC"/>
    <w:rsid w:val="00177D7E"/>
    <w:rsid w:val="001823E9"/>
    <w:rsid w:val="0019011B"/>
    <w:rsid w:val="0019569B"/>
    <w:rsid w:val="001B6116"/>
    <w:rsid w:val="001C2BC6"/>
    <w:rsid w:val="001C67A3"/>
    <w:rsid w:val="001D1D92"/>
    <w:rsid w:val="001E6563"/>
    <w:rsid w:val="001F224A"/>
    <w:rsid w:val="00201C50"/>
    <w:rsid w:val="00206552"/>
    <w:rsid w:val="00207023"/>
    <w:rsid w:val="002070AA"/>
    <w:rsid w:val="00212A6A"/>
    <w:rsid w:val="00215867"/>
    <w:rsid w:val="00215D59"/>
    <w:rsid w:val="00216475"/>
    <w:rsid w:val="00226167"/>
    <w:rsid w:val="0022734D"/>
    <w:rsid w:val="00233F0A"/>
    <w:rsid w:val="002352FD"/>
    <w:rsid w:val="002433A8"/>
    <w:rsid w:val="002510D2"/>
    <w:rsid w:val="002525F7"/>
    <w:rsid w:val="0025391F"/>
    <w:rsid w:val="00267E4D"/>
    <w:rsid w:val="002811FD"/>
    <w:rsid w:val="00281721"/>
    <w:rsid w:val="002919C8"/>
    <w:rsid w:val="002A3174"/>
    <w:rsid w:val="002A3459"/>
    <w:rsid w:val="002A54CD"/>
    <w:rsid w:val="002B1037"/>
    <w:rsid w:val="002B34A3"/>
    <w:rsid w:val="002B522C"/>
    <w:rsid w:val="002C54EE"/>
    <w:rsid w:val="002C55FE"/>
    <w:rsid w:val="002C5965"/>
    <w:rsid w:val="002C5FC6"/>
    <w:rsid w:val="002E3F08"/>
    <w:rsid w:val="002E493C"/>
    <w:rsid w:val="002E6958"/>
    <w:rsid w:val="002F1C45"/>
    <w:rsid w:val="002F22ED"/>
    <w:rsid w:val="002F4991"/>
    <w:rsid w:val="002F4D5E"/>
    <w:rsid w:val="00303A44"/>
    <w:rsid w:val="00310CFC"/>
    <w:rsid w:val="00316897"/>
    <w:rsid w:val="003272BB"/>
    <w:rsid w:val="00334064"/>
    <w:rsid w:val="003355DC"/>
    <w:rsid w:val="00335E42"/>
    <w:rsid w:val="00345639"/>
    <w:rsid w:val="003468FE"/>
    <w:rsid w:val="0035154B"/>
    <w:rsid w:val="00351FBC"/>
    <w:rsid w:val="0035282C"/>
    <w:rsid w:val="0035591B"/>
    <w:rsid w:val="003733FD"/>
    <w:rsid w:val="00390226"/>
    <w:rsid w:val="003A5FB9"/>
    <w:rsid w:val="003B2206"/>
    <w:rsid w:val="003B360F"/>
    <w:rsid w:val="003C3FC1"/>
    <w:rsid w:val="003E6BD7"/>
    <w:rsid w:val="003F5840"/>
    <w:rsid w:val="003F7612"/>
    <w:rsid w:val="0040182E"/>
    <w:rsid w:val="00407EDA"/>
    <w:rsid w:val="00415028"/>
    <w:rsid w:val="004268E6"/>
    <w:rsid w:val="0043395C"/>
    <w:rsid w:val="0043459A"/>
    <w:rsid w:val="004361F5"/>
    <w:rsid w:val="00446235"/>
    <w:rsid w:val="00451AA1"/>
    <w:rsid w:val="004525E0"/>
    <w:rsid w:val="00457368"/>
    <w:rsid w:val="00481C5D"/>
    <w:rsid w:val="004A0483"/>
    <w:rsid w:val="004A7A09"/>
    <w:rsid w:val="004C5293"/>
    <w:rsid w:val="004D272F"/>
    <w:rsid w:val="004D2DE9"/>
    <w:rsid w:val="004D4E1A"/>
    <w:rsid w:val="004F0D32"/>
    <w:rsid w:val="004F0E2E"/>
    <w:rsid w:val="004F3515"/>
    <w:rsid w:val="004F7A26"/>
    <w:rsid w:val="0050098D"/>
    <w:rsid w:val="005017F6"/>
    <w:rsid w:val="005202C1"/>
    <w:rsid w:val="00531E02"/>
    <w:rsid w:val="00532D59"/>
    <w:rsid w:val="00532EF9"/>
    <w:rsid w:val="005424DB"/>
    <w:rsid w:val="00545606"/>
    <w:rsid w:val="0055136F"/>
    <w:rsid w:val="005569CF"/>
    <w:rsid w:val="00557A45"/>
    <w:rsid w:val="005616F1"/>
    <w:rsid w:val="005630DD"/>
    <w:rsid w:val="005839A0"/>
    <w:rsid w:val="0059213B"/>
    <w:rsid w:val="00594CF6"/>
    <w:rsid w:val="00597C35"/>
    <w:rsid w:val="005A5890"/>
    <w:rsid w:val="005A6BB9"/>
    <w:rsid w:val="005B3976"/>
    <w:rsid w:val="005B7467"/>
    <w:rsid w:val="005C080A"/>
    <w:rsid w:val="005C1F1B"/>
    <w:rsid w:val="005C5D6F"/>
    <w:rsid w:val="005D5F24"/>
    <w:rsid w:val="005D7894"/>
    <w:rsid w:val="005F1878"/>
    <w:rsid w:val="00612731"/>
    <w:rsid w:val="006130C7"/>
    <w:rsid w:val="00613B82"/>
    <w:rsid w:val="00614E4B"/>
    <w:rsid w:val="0061786E"/>
    <w:rsid w:val="006238C7"/>
    <w:rsid w:val="006269A2"/>
    <w:rsid w:val="00630A60"/>
    <w:rsid w:val="00634FB1"/>
    <w:rsid w:val="0063745A"/>
    <w:rsid w:val="00643BBF"/>
    <w:rsid w:val="006457E4"/>
    <w:rsid w:val="0064694C"/>
    <w:rsid w:val="00654541"/>
    <w:rsid w:val="00655522"/>
    <w:rsid w:val="006612BF"/>
    <w:rsid w:val="00662433"/>
    <w:rsid w:val="00666F3D"/>
    <w:rsid w:val="00670123"/>
    <w:rsid w:val="00673109"/>
    <w:rsid w:val="00687B3E"/>
    <w:rsid w:val="00691BED"/>
    <w:rsid w:val="006924DA"/>
    <w:rsid w:val="0069681F"/>
    <w:rsid w:val="006A565A"/>
    <w:rsid w:val="006C2000"/>
    <w:rsid w:val="006C20CF"/>
    <w:rsid w:val="006C465C"/>
    <w:rsid w:val="006D33F1"/>
    <w:rsid w:val="006E038F"/>
    <w:rsid w:val="006E385D"/>
    <w:rsid w:val="006E39A7"/>
    <w:rsid w:val="006F2423"/>
    <w:rsid w:val="006F7235"/>
    <w:rsid w:val="007116CD"/>
    <w:rsid w:val="00714824"/>
    <w:rsid w:val="0071716B"/>
    <w:rsid w:val="00720883"/>
    <w:rsid w:val="00727D65"/>
    <w:rsid w:val="00730871"/>
    <w:rsid w:val="00730E4F"/>
    <w:rsid w:val="0074662A"/>
    <w:rsid w:val="00747345"/>
    <w:rsid w:val="00750A40"/>
    <w:rsid w:val="00770C43"/>
    <w:rsid w:val="007714E9"/>
    <w:rsid w:val="00772DF2"/>
    <w:rsid w:val="00774DE2"/>
    <w:rsid w:val="007775CD"/>
    <w:rsid w:val="007803B7"/>
    <w:rsid w:val="00784A9A"/>
    <w:rsid w:val="007910AF"/>
    <w:rsid w:val="00792C4F"/>
    <w:rsid w:val="007A474D"/>
    <w:rsid w:val="007C0706"/>
    <w:rsid w:val="007C4AC1"/>
    <w:rsid w:val="007D45AA"/>
    <w:rsid w:val="007E00DD"/>
    <w:rsid w:val="007E626E"/>
    <w:rsid w:val="007F4455"/>
    <w:rsid w:val="007F4F22"/>
    <w:rsid w:val="00800BB5"/>
    <w:rsid w:val="00801DD7"/>
    <w:rsid w:val="008120C0"/>
    <w:rsid w:val="00820D04"/>
    <w:rsid w:val="0082107A"/>
    <w:rsid w:val="00836175"/>
    <w:rsid w:val="00841708"/>
    <w:rsid w:val="008463C0"/>
    <w:rsid w:val="00847910"/>
    <w:rsid w:val="00853D22"/>
    <w:rsid w:val="00855914"/>
    <w:rsid w:val="00856067"/>
    <w:rsid w:val="008623C5"/>
    <w:rsid w:val="008750B1"/>
    <w:rsid w:val="00892F6F"/>
    <w:rsid w:val="00893D26"/>
    <w:rsid w:val="008A48AE"/>
    <w:rsid w:val="008B3864"/>
    <w:rsid w:val="008B7809"/>
    <w:rsid w:val="008C6EB8"/>
    <w:rsid w:val="008D060A"/>
    <w:rsid w:val="008D0915"/>
    <w:rsid w:val="008D5B27"/>
    <w:rsid w:val="008E5D28"/>
    <w:rsid w:val="008E6DFA"/>
    <w:rsid w:val="008F1ECC"/>
    <w:rsid w:val="008F5890"/>
    <w:rsid w:val="00905245"/>
    <w:rsid w:val="00906980"/>
    <w:rsid w:val="009078F4"/>
    <w:rsid w:val="0091127E"/>
    <w:rsid w:val="00911372"/>
    <w:rsid w:val="0091396F"/>
    <w:rsid w:val="0093456B"/>
    <w:rsid w:val="0093584C"/>
    <w:rsid w:val="00936532"/>
    <w:rsid w:val="0093709A"/>
    <w:rsid w:val="009607F6"/>
    <w:rsid w:val="009632CB"/>
    <w:rsid w:val="0097486C"/>
    <w:rsid w:val="009754C9"/>
    <w:rsid w:val="00975C07"/>
    <w:rsid w:val="00980E15"/>
    <w:rsid w:val="009866FF"/>
    <w:rsid w:val="00993635"/>
    <w:rsid w:val="009A10BA"/>
    <w:rsid w:val="009A2AE1"/>
    <w:rsid w:val="009A402E"/>
    <w:rsid w:val="009A7340"/>
    <w:rsid w:val="009B44A3"/>
    <w:rsid w:val="009B6426"/>
    <w:rsid w:val="009C03E2"/>
    <w:rsid w:val="009C1760"/>
    <w:rsid w:val="009C28C4"/>
    <w:rsid w:val="009C465B"/>
    <w:rsid w:val="009C5A6F"/>
    <w:rsid w:val="009C5D1B"/>
    <w:rsid w:val="009D365B"/>
    <w:rsid w:val="009D768D"/>
    <w:rsid w:val="009E589B"/>
    <w:rsid w:val="009E7D0F"/>
    <w:rsid w:val="009F6293"/>
    <w:rsid w:val="00A01421"/>
    <w:rsid w:val="00A01BF8"/>
    <w:rsid w:val="00A13079"/>
    <w:rsid w:val="00A24D17"/>
    <w:rsid w:val="00A32117"/>
    <w:rsid w:val="00A329D7"/>
    <w:rsid w:val="00A36E53"/>
    <w:rsid w:val="00A4056F"/>
    <w:rsid w:val="00A53416"/>
    <w:rsid w:val="00A5510C"/>
    <w:rsid w:val="00A67565"/>
    <w:rsid w:val="00A711C9"/>
    <w:rsid w:val="00A84BC2"/>
    <w:rsid w:val="00A86489"/>
    <w:rsid w:val="00A877D0"/>
    <w:rsid w:val="00A920C5"/>
    <w:rsid w:val="00A93E7F"/>
    <w:rsid w:val="00A94B0F"/>
    <w:rsid w:val="00AA35B7"/>
    <w:rsid w:val="00AA7617"/>
    <w:rsid w:val="00AB014F"/>
    <w:rsid w:val="00AB38F3"/>
    <w:rsid w:val="00AB44A3"/>
    <w:rsid w:val="00AC1D99"/>
    <w:rsid w:val="00AC232D"/>
    <w:rsid w:val="00AC4A2D"/>
    <w:rsid w:val="00AD0870"/>
    <w:rsid w:val="00AD0E26"/>
    <w:rsid w:val="00AD49F6"/>
    <w:rsid w:val="00AD7EC0"/>
    <w:rsid w:val="00AE0C60"/>
    <w:rsid w:val="00AE45DA"/>
    <w:rsid w:val="00AF2BB9"/>
    <w:rsid w:val="00AF48EF"/>
    <w:rsid w:val="00B044BB"/>
    <w:rsid w:val="00B10967"/>
    <w:rsid w:val="00B1648F"/>
    <w:rsid w:val="00B20F7A"/>
    <w:rsid w:val="00B24333"/>
    <w:rsid w:val="00B25C6C"/>
    <w:rsid w:val="00B264B0"/>
    <w:rsid w:val="00B33988"/>
    <w:rsid w:val="00B416B3"/>
    <w:rsid w:val="00B45FB6"/>
    <w:rsid w:val="00B47F0C"/>
    <w:rsid w:val="00B523C6"/>
    <w:rsid w:val="00B53CF0"/>
    <w:rsid w:val="00B607F3"/>
    <w:rsid w:val="00B67922"/>
    <w:rsid w:val="00B71D05"/>
    <w:rsid w:val="00B85486"/>
    <w:rsid w:val="00B91342"/>
    <w:rsid w:val="00B97BD3"/>
    <w:rsid w:val="00BA0669"/>
    <w:rsid w:val="00BA4440"/>
    <w:rsid w:val="00BC2333"/>
    <w:rsid w:val="00BD6A86"/>
    <w:rsid w:val="00BE2B96"/>
    <w:rsid w:val="00BF13BD"/>
    <w:rsid w:val="00BF5DE9"/>
    <w:rsid w:val="00C05D9E"/>
    <w:rsid w:val="00C068FF"/>
    <w:rsid w:val="00C11FE8"/>
    <w:rsid w:val="00C13D97"/>
    <w:rsid w:val="00C14674"/>
    <w:rsid w:val="00C14786"/>
    <w:rsid w:val="00C15FAD"/>
    <w:rsid w:val="00C17303"/>
    <w:rsid w:val="00C17372"/>
    <w:rsid w:val="00C2272F"/>
    <w:rsid w:val="00C3325B"/>
    <w:rsid w:val="00C41E07"/>
    <w:rsid w:val="00C47AA7"/>
    <w:rsid w:val="00C5052B"/>
    <w:rsid w:val="00C52CA3"/>
    <w:rsid w:val="00C7528A"/>
    <w:rsid w:val="00C84156"/>
    <w:rsid w:val="00C905B7"/>
    <w:rsid w:val="00C93112"/>
    <w:rsid w:val="00C97E6A"/>
    <w:rsid w:val="00CA610B"/>
    <w:rsid w:val="00CD02EF"/>
    <w:rsid w:val="00CD038C"/>
    <w:rsid w:val="00CD1915"/>
    <w:rsid w:val="00CD6D5C"/>
    <w:rsid w:val="00CE08E9"/>
    <w:rsid w:val="00CE32F4"/>
    <w:rsid w:val="00D01FF2"/>
    <w:rsid w:val="00D03282"/>
    <w:rsid w:val="00D07FAE"/>
    <w:rsid w:val="00D12491"/>
    <w:rsid w:val="00D17037"/>
    <w:rsid w:val="00D17CFB"/>
    <w:rsid w:val="00D216C7"/>
    <w:rsid w:val="00D304CE"/>
    <w:rsid w:val="00D37DAF"/>
    <w:rsid w:val="00D42867"/>
    <w:rsid w:val="00D45286"/>
    <w:rsid w:val="00D52AA7"/>
    <w:rsid w:val="00D772B0"/>
    <w:rsid w:val="00D8064D"/>
    <w:rsid w:val="00D85E45"/>
    <w:rsid w:val="00D91855"/>
    <w:rsid w:val="00D94450"/>
    <w:rsid w:val="00D973AC"/>
    <w:rsid w:val="00DA4AB3"/>
    <w:rsid w:val="00DB68C7"/>
    <w:rsid w:val="00DD119E"/>
    <w:rsid w:val="00DD3253"/>
    <w:rsid w:val="00DE244E"/>
    <w:rsid w:val="00DE2BA9"/>
    <w:rsid w:val="00DF3CCC"/>
    <w:rsid w:val="00DF52B5"/>
    <w:rsid w:val="00DF70F9"/>
    <w:rsid w:val="00E00C4A"/>
    <w:rsid w:val="00E01F2C"/>
    <w:rsid w:val="00E10E6A"/>
    <w:rsid w:val="00E12ABD"/>
    <w:rsid w:val="00E3235D"/>
    <w:rsid w:val="00E34FA1"/>
    <w:rsid w:val="00E46ED0"/>
    <w:rsid w:val="00E56C93"/>
    <w:rsid w:val="00E92639"/>
    <w:rsid w:val="00EA4ED3"/>
    <w:rsid w:val="00EB48A6"/>
    <w:rsid w:val="00EC0841"/>
    <w:rsid w:val="00EC2B14"/>
    <w:rsid w:val="00EC497E"/>
    <w:rsid w:val="00EC7CF6"/>
    <w:rsid w:val="00ED152B"/>
    <w:rsid w:val="00ED2263"/>
    <w:rsid w:val="00EE19D5"/>
    <w:rsid w:val="00EE76F2"/>
    <w:rsid w:val="00EF1C18"/>
    <w:rsid w:val="00F030D8"/>
    <w:rsid w:val="00F054A7"/>
    <w:rsid w:val="00F10ED1"/>
    <w:rsid w:val="00F2069A"/>
    <w:rsid w:val="00F233F8"/>
    <w:rsid w:val="00F36FAC"/>
    <w:rsid w:val="00F41862"/>
    <w:rsid w:val="00F55F4D"/>
    <w:rsid w:val="00F63D26"/>
    <w:rsid w:val="00F72108"/>
    <w:rsid w:val="00F733A6"/>
    <w:rsid w:val="00F8598D"/>
    <w:rsid w:val="00F90EA1"/>
    <w:rsid w:val="00FA38D7"/>
    <w:rsid w:val="00FA60A2"/>
    <w:rsid w:val="00FA6238"/>
    <w:rsid w:val="00FA6399"/>
    <w:rsid w:val="00FA6708"/>
    <w:rsid w:val="00FB42F7"/>
    <w:rsid w:val="00FB51B0"/>
    <w:rsid w:val="00FC3001"/>
    <w:rsid w:val="00FC6BC6"/>
    <w:rsid w:val="00FC77E2"/>
    <w:rsid w:val="00FD3A56"/>
    <w:rsid w:val="00FE22E7"/>
    <w:rsid w:val="00FE2C97"/>
    <w:rsid w:val="00FE3A68"/>
    <w:rsid w:val="00FE5184"/>
    <w:rsid w:val="00FE7E30"/>
    <w:rsid w:val="00FF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F58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20F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20F7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D6D5C"/>
    <w:rPr>
      <w:color w:val="0000FF"/>
      <w:u w:val="single"/>
    </w:rPr>
  </w:style>
  <w:style w:type="paragraph" w:styleId="BalloonText">
    <w:name w:val="Balloon Text"/>
    <w:basedOn w:val="Normal"/>
    <w:semiHidden/>
    <w:rsid w:val="00C47AA7"/>
    <w:rPr>
      <w:rFonts w:ascii="Tahoma" w:hAnsi="Tahoma" w:cs="Tahoma"/>
      <w:sz w:val="16"/>
      <w:szCs w:val="16"/>
    </w:rPr>
  </w:style>
  <w:style w:type="character" w:customStyle="1" w:styleId="Heading1Char">
    <w:name w:val="Heading 1 Char"/>
    <w:basedOn w:val="DefaultParagraphFont"/>
    <w:link w:val="Heading1"/>
    <w:rsid w:val="003F5840"/>
    <w:rPr>
      <w:rFonts w:ascii="Arial" w:hAnsi="Arial" w:cs="Arial"/>
      <w:b/>
      <w:bCs/>
      <w:kern w:val="32"/>
      <w:sz w:val="32"/>
      <w:szCs w:val="32"/>
      <w:lang w:eastAsia="en-US"/>
    </w:rPr>
  </w:style>
  <w:style w:type="character" w:customStyle="1" w:styleId="Heading2Char">
    <w:name w:val="Heading 2 Char"/>
    <w:basedOn w:val="DefaultParagraphFont"/>
    <w:link w:val="Heading2"/>
    <w:semiHidden/>
    <w:rsid w:val="00B20F7A"/>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B20F7A"/>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B20F7A"/>
    <w:pPr>
      <w:tabs>
        <w:tab w:val="left" w:pos="567"/>
      </w:tabs>
      <w:ind w:left="720" w:hanging="567"/>
      <w:contextualSpacing/>
    </w:pPr>
    <w:rPr>
      <w:rFonts w:ascii="Arial" w:eastAsia="SimSun" w:hAnsi="Arial" w:cs="Arial"/>
      <w:sz w:val="20"/>
      <w:szCs w:val="20"/>
      <w:lang w:val="en-AU" w:eastAsia="zh-CN"/>
    </w:rPr>
  </w:style>
  <w:style w:type="paragraph" w:styleId="TOCHeading">
    <w:name w:val="TOC Heading"/>
    <w:basedOn w:val="Heading1"/>
    <w:next w:val="Normal"/>
    <w:uiPriority w:val="39"/>
    <w:unhideWhenUsed/>
    <w:qFormat/>
    <w:rsid w:val="00855914"/>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rsid w:val="00855914"/>
    <w:pPr>
      <w:spacing w:after="100"/>
    </w:pPr>
    <w:rPr>
      <w:rFonts w:ascii="Arial" w:hAnsi="Arial"/>
    </w:rPr>
  </w:style>
  <w:style w:type="paragraph" w:styleId="TOC2">
    <w:name w:val="toc 2"/>
    <w:basedOn w:val="Normal"/>
    <w:next w:val="Normal"/>
    <w:autoRedefine/>
    <w:uiPriority w:val="39"/>
    <w:rsid w:val="00855914"/>
    <w:pPr>
      <w:spacing w:after="100"/>
      <w:ind w:left="240"/>
    </w:pPr>
  </w:style>
  <w:style w:type="paragraph" w:styleId="TOC3">
    <w:name w:val="toc 3"/>
    <w:basedOn w:val="Normal"/>
    <w:next w:val="Normal"/>
    <w:autoRedefine/>
    <w:uiPriority w:val="39"/>
    <w:rsid w:val="00855914"/>
    <w:pPr>
      <w:spacing w:after="100"/>
      <w:ind w:left="480"/>
    </w:pPr>
  </w:style>
  <w:style w:type="character" w:styleId="SubtleEmphasis">
    <w:name w:val="Subtle Emphasis"/>
    <w:basedOn w:val="DefaultParagraphFont"/>
    <w:uiPriority w:val="19"/>
    <w:qFormat/>
    <w:rsid w:val="007E626E"/>
    <w:rPr>
      <w:i/>
      <w:iCs/>
      <w:color w:val="404040" w:themeColor="text1" w:themeTint="BF"/>
    </w:rPr>
  </w:style>
  <w:style w:type="paragraph" w:styleId="Header">
    <w:name w:val="header"/>
    <w:basedOn w:val="Normal"/>
    <w:link w:val="HeaderChar"/>
    <w:rsid w:val="009754C9"/>
    <w:pPr>
      <w:tabs>
        <w:tab w:val="center" w:pos="4513"/>
        <w:tab w:val="right" w:pos="9026"/>
      </w:tabs>
    </w:pPr>
  </w:style>
  <w:style w:type="character" w:customStyle="1" w:styleId="HeaderChar">
    <w:name w:val="Header Char"/>
    <w:basedOn w:val="DefaultParagraphFont"/>
    <w:link w:val="Header"/>
    <w:rsid w:val="009754C9"/>
    <w:rPr>
      <w:sz w:val="24"/>
      <w:szCs w:val="24"/>
      <w:lang w:eastAsia="en-US"/>
    </w:rPr>
  </w:style>
  <w:style w:type="paragraph" w:styleId="Footer">
    <w:name w:val="footer"/>
    <w:basedOn w:val="Normal"/>
    <w:link w:val="FooterChar"/>
    <w:rsid w:val="009754C9"/>
    <w:pPr>
      <w:tabs>
        <w:tab w:val="center" w:pos="4513"/>
        <w:tab w:val="right" w:pos="9026"/>
      </w:tabs>
    </w:pPr>
  </w:style>
  <w:style w:type="character" w:customStyle="1" w:styleId="FooterChar">
    <w:name w:val="Footer Char"/>
    <w:basedOn w:val="DefaultParagraphFont"/>
    <w:link w:val="Footer"/>
    <w:rsid w:val="009754C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98165">
      <w:bodyDiv w:val="1"/>
      <w:marLeft w:val="0"/>
      <w:marRight w:val="0"/>
      <w:marTop w:val="0"/>
      <w:marBottom w:val="0"/>
      <w:divBdr>
        <w:top w:val="none" w:sz="0" w:space="0" w:color="auto"/>
        <w:left w:val="none" w:sz="0" w:space="0" w:color="auto"/>
        <w:bottom w:val="none" w:sz="0" w:space="0" w:color="auto"/>
        <w:right w:val="none" w:sz="0" w:space="0" w:color="auto"/>
      </w:divBdr>
    </w:div>
    <w:div w:id="1301496584">
      <w:bodyDiv w:val="1"/>
      <w:marLeft w:val="0"/>
      <w:marRight w:val="0"/>
      <w:marTop w:val="0"/>
      <w:marBottom w:val="0"/>
      <w:divBdr>
        <w:top w:val="none" w:sz="0" w:space="0" w:color="auto"/>
        <w:left w:val="none" w:sz="0" w:space="0" w:color="auto"/>
        <w:bottom w:val="none" w:sz="0" w:space="0" w:color="auto"/>
        <w:right w:val="none" w:sz="0" w:space="0" w:color="auto"/>
      </w:divBdr>
    </w:div>
    <w:div w:id="1312253504">
      <w:bodyDiv w:val="1"/>
      <w:marLeft w:val="0"/>
      <w:marRight w:val="0"/>
      <w:marTop w:val="0"/>
      <w:marBottom w:val="0"/>
      <w:divBdr>
        <w:top w:val="none" w:sz="0" w:space="0" w:color="auto"/>
        <w:left w:val="none" w:sz="0" w:space="0" w:color="auto"/>
        <w:bottom w:val="none" w:sz="0" w:space="0" w:color="auto"/>
        <w:right w:val="none" w:sz="0" w:space="0" w:color="auto"/>
      </w:divBdr>
    </w:div>
    <w:div w:id="1317488687">
      <w:bodyDiv w:val="1"/>
      <w:marLeft w:val="0"/>
      <w:marRight w:val="0"/>
      <w:marTop w:val="0"/>
      <w:marBottom w:val="0"/>
      <w:divBdr>
        <w:top w:val="none" w:sz="0" w:space="0" w:color="auto"/>
        <w:left w:val="none" w:sz="0" w:space="0" w:color="auto"/>
        <w:bottom w:val="none" w:sz="0" w:space="0" w:color="auto"/>
        <w:right w:val="none" w:sz="0" w:space="0" w:color="auto"/>
      </w:divBdr>
    </w:div>
    <w:div w:id="1362437441">
      <w:bodyDiv w:val="1"/>
      <w:marLeft w:val="0"/>
      <w:marRight w:val="0"/>
      <w:marTop w:val="0"/>
      <w:marBottom w:val="0"/>
      <w:divBdr>
        <w:top w:val="none" w:sz="0" w:space="0" w:color="auto"/>
        <w:left w:val="none" w:sz="0" w:space="0" w:color="auto"/>
        <w:bottom w:val="none" w:sz="0" w:space="0" w:color="auto"/>
        <w:right w:val="none" w:sz="0" w:space="0" w:color="auto"/>
      </w:divBdr>
    </w:div>
    <w:div w:id="16814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C81B-2BED-4826-AE3F-187C9EDB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SOP Title:</vt:lpstr>
    </vt:vector>
  </TitlesOfParts>
  <Manager/>
  <Company/>
  <LinksUpToDate>false</LinksUpToDate>
  <CharactersWithSpaces>13940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and Special Collections Collections Development Policy</dc:title>
  <dc:subject>
  </dc:subject>
  <dc:creator>
  </dc:creator>
  <cp:keywords>
  </cp:keywords>
  <dc:description>
  </dc:description>
  <cp:lastModifiedBy>ssebastian</cp:lastModifiedBy>
  <cp:revision>1</cp:revision>
  <cp:lastPrinted>2009-07-22T13:18:00Z</cp:lastPrinted>
  <dcterms:created xsi:type="dcterms:W3CDTF">2019-08-08T10:40:00Z</dcterms:created>
  <dcterms:modified xsi:type="dcterms:W3CDTF">2019-10-09T15:03:10Z</dcterms:modified>
</cp:coreProperties>
</file>