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60A2" w:rsidRDefault="006E4F63" w14:paraId="672A6659" w14:textId="77777777">
      <w:r>
        <w:tab/>
      </w:r>
      <w:r>
        <w:tab/>
      </w:r>
    </w:p>
    <w:tbl>
      <w:tblPr>
        <w:tblStyle w:val="TableGrid"/>
        <w:tblW w:w="9356" w:type="dxa"/>
        <w:tblInd w:w="-459" w:type="dxa"/>
        <w:tblLook w:val="01E0" w:firstRow="1" w:lastRow="1" w:firstColumn="1" w:lastColumn="1" w:noHBand="0" w:noVBand="0"/>
      </w:tblPr>
      <w:tblGrid>
        <w:gridCol w:w="6096"/>
        <w:gridCol w:w="3260"/>
      </w:tblGrid>
      <w:tr w:rsidR="00DB68C7" w:rsidTr="2A2111C4" w14:paraId="2D14D8F0" w14:textId="77777777">
        <w:trPr>
          <w:trHeight w:val="848"/>
        </w:trPr>
        <w:tc>
          <w:tcPr>
            <w:tcW w:w="6096" w:type="dxa"/>
          </w:tcPr>
          <w:p w:rsidR="00DB68C7" w:rsidP="0091127E" w:rsidRDefault="00DB68C7" w14:paraId="0A37501D" w14:textId="77777777">
            <w:pPr>
              <w:rPr>
                <w:rFonts w:ascii="Arial" w:hAnsi="Arial" w:cs="Arial"/>
              </w:rPr>
            </w:pPr>
          </w:p>
          <w:p w:rsidRPr="00714824" w:rsidR="00714824" w:rsidP="00BD6A86" w:rsidRDefault="00714824" w14:paraId="1E3A1E16" w14:textId="77777777">
            <w:pPr>
              <w:rPr>
                <w:rFonts w:ascii="Arial" w:hAnsi="Arial" w:cs="Arial"/>
              </w:rPr>
            </w:pPr>
            <w:r w:rsidRPr="00C6009F">
              <w:rPr>
                <w:rFonts w:ascii="Arial" w:hAnsi="Arial" w:cs="Arial"/>
                <w:sz w:val="20"/>
                <w:szCs w:val="20"/>
              </w:rPr>
              <w:t>SOP Title Reference:</w:t>
            </w:r>
            <w:r w:rsidR="00F2797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27978" w:rsidR="00F27978">
              <w:rPr>
                <w:rFonts w:ascii="Arial" w:hAnsi="Arial" w:cs="Arial"/>
                <w:b/>
              </w:rPr>
              <w:t>Classification of Information</w:t>
            </w:r>
            <w:r w:rsidR="00F279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34C9">
              <w:rPr>
                <w:rFonts w:ascii="Arial" w:hAnsi="Arial" w:cs="Arial"/>
                <w:b/>
              </w:rPr>
              <w:t xml:space="preserve">Policy </w:t>
            </w:r>
          </w:p>
          <w:p w:rsidRPr="004361F5" w:rsidR="00DB68C7" w:rsidP="00714824" w:rsidRDefault="00DB68C7" w14:paraId="5DAB6C7B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Merge w:val="restart"/>
          </w:tcPr>
          <w:p w:rsidR="00DB68C7" w:rsidP="0091127E" w:rsidRDefault="00DB68C7" w14:paraId="39A5434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2B579A"/>
                <w:shd w:val="clear" w:color="auto" w:fill="E6E6E6"/>
                <w:lang w:eastAsia="en-GB"/>
              </w:rPr>
              <w:drawing>
                <wp:anchor distT="0" distB="0" distL="114300" distR="114300" simplePos="0" relativeHeight="251663872" behindDoc="0" locked="0" layoutInCell="1" allowOverlap="1" wp14:editId="07777777" wp14:anchorId="45DB4964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79375</wp:posOffset>
                  </wp:positionV>
                  <wp:extent cx="1972310" cy="922020"/>
                  <wp:effectExtent l="0" t="0" r="8890" b="0"/>
                  <wp:wrapNone/>
                  <wp:docPr id="20" name="Picture 20" descr="logomed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med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31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B68C7" w:rsidP="0091127E" w:rsidRDefault="00DB68C7" w14:paraId="02EB378F" w14:textId="77777777">
            <w:pPr>
              <w:rPr>
                <w:rFonts w:ascii="Arial" w:hAnsi="Arial" w:cs="Arial"/>
              </w:rPr>
            </w:pPr>
          </w:p>
          <w:p w:rsidR="00DB68C7" w:rsidP="0091127E" w:rsidRDefault="00DB68C7" w14:paraId="6A05A809" w14:textId="77777777">
            <w:pPr>
              <w:rPr>
                <w:rFonts w:ascii="Arial" w:hAnsi="Arial" w:cs="Arial"/>
              </w:rPr>
            </w:pPr>
          </w:p>
          <w:p w:rsidR="00DB68C7" w:rsidP="0091127E" w:rsidRDefault="00DB68C7" w14:paraId="5A39BBE3" w14:textId="77777777">
            <w:pPr>
              <w:rPr>
                <w:rFonts w:ascii="Arial" w:hAnsi="Arial" w:cs="Arial"/>
              </w:rPr>
            </w:pPr>
          </w:p>
          <w:p w:rsidR="00DB68C7" w:rsidP="0091127E" w:rsidRDefault="00DB68C7" w14:paraId="41C8F396" w14:textId="77777777">
            <w:pPr>
              <w:rPr>
                <w:rFonts w:ascii="Arial" w:hAnsi="Arial" w:cs="Arial"/>
              </w:rPr>
            </w:pPr>
          </w:p>
        </w:tc>
      </w:tr>
      <w:tr w:rsidR="00DB68C7" w:rsidTr="2A2111C4" w14:paraId="3BF49229" w14:textId="77777777">
        <w:trPr>
          <w:trHeight w:val="847"/>
        </w:trPr>
        <w:tc>
          <w:tcPr>
            <w:tcW w:w="6096" w:type="dxa"/>
          </w:tcPr>
          <w:p w:rsidRPr="00C6009F" w:rsidR="00714824" w:rsidP="77AE11BA" w:rsidRDefault="77AE11BA" w14:paraId="25A71805" w14:textId="142F0CA1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77AE11BA">
              <w:rPr>
                <w:rFonts w:ascii="Arial" w:hAnsi="Arial" w:cs="Arial"/>
                <w:sz w:val="20"/>
                <w:szCs w:val="20"/>
              </w:rPr>
              <w:t>Author:</w:t>
            </w:r>
            <w:r w:rsidRPr="77AE11BA">
              <w:rPr>
                <w:rFonts w:ascii="Arial" w:hAnsi="Arial" w:cs="Arial"/>
              </w:rPr>
              <w:t xml:space="preserve"> </w:t>
            </w:r>
            <w:r w:rsidRPr="77AE11BA">
              <w:rPr>
                <w:rFonts w:ascii="Arial" w:hAnsi="Arial" w:cs="Arial"/>
                <w:b/>
                <w:bCs/>
              </w:rPr>
              <w:t>Governance Legal &amp; Assurance Services</w:t>
            </w:r>
          </w:p>
          <w:p w:rsidR="00DB68C7" w:rsidP="0091127E" w:rsidRDefault="00DB68C7" w14:paraId="72A3D3EC" w14:textId="7777777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</w:tcPr>
          <w:p w:rsidR="00DB68C7" w:rsidP="0091127E" w:rsidRDefault="00DB68C7" w14:paraId="0D0B940D" w14:textId="77777777">
            <w:pPr>
              <w:rPr>
                <w:rFonts w:ascii="Arial" w:hAnsi="Arial" w:cs="Arial"/>
                <w:noProof/>
                <w:lang w:val="en-US"/>
              </w:rPr>
            </w:pPr>
          </w:p>
        </w:tc>
      </w:tr>
      <w:tr w:rsidR="00FA60A2" w:rsidTr="2A2111C4" w14:paraId="26716EB7" w14:textId="77777777">
        <w:trPr>
          <w:trHeight w:val="10762"/>
        </w:trPr>
        <w:tc>
          <w:tcPr>
            <w:tcW w:w="9356" w:type="dxa"/>
            <w:gridSpan w:val="2"/>
            <w:tcBorders>
              <w:bottom w:val="single" w:color="auto" w:sz="4" w:space="0"/>
            </w:tcBorders>
          </w:tcPr>
          <w:p w:rsidR="00FA60A2" w:rsidP="0091127E" w:rsidRDefault="00FA60A2" w14:paraId="0E27B00A" w14:textId="77777777">
            <w:pPr>
              <w:rPr>
                <w:rFonts w:ascii="Arial" w:hAnsi="Arial" w:cs="Arial"/>
              </w:rPr>
            </w:pPr>
          </w:p>
          <w:p w:rsidR="00FA60A2" w:rsidP="0091127E" w:rsidRDefault="00FA60A2" w14:paraId="60061E4C" w14:textId="77777777">
            <w:pPr>
              <w:rPr>
                <w:rFonts w:ascii="Arial" w:hAnsi="Arial" w:cs="Arial"/>
              </w:rPr>
            </w:pPr>
          </w:p>
          <w:p w:rsidR="00FA60A2" w:rsidP="0091127E" w:rsidRDefault="00FA60A2" w14:paraId="44EAFD9C" w14:textId="77777777">
            <w:pPr>
              <w:rPr>
                <w:rFonts w:ascii="Arial" w:hAnsi="Arial" w:cs="Arial"/>
              </w:rPr>
            </w:pPr>
          </w:p>
          <w:p w:rsidR="00FA60A2" w:rsidP="0091127E" w:rsidRDefault="00FA60A2" w14:paraId="4B94D5A5" w14:textId="77777777">
            <w:pPr>
              <w:rPr>
                <w:rFonts w:ascii="Arial" w:hAnsi="Arial" w:cs="Arial"/>
              </w:rPr>
            </w:pPr>
          </w:p>
          <w:p w:rsidR="00FA60A2" w:rsidP="0091127E" w:rsidRDefault="00FA60A2" w14:paraId="3DEEC669" w14:textId="77777777">
            <w:pPr>
              <w:rPr>
                <w:rFonts w:ascii="Arial" w:hAnsi="Arial" w:cs="Arial"/>
              </w:rPr>
            </w:pPr>
          </w:p>
          <w:p w:rsidR="00FA60A2" w:rsidP="0091127E" w:rsidRDefault="00FA60A2" w14:paraId="3656B9AB" w14:textId="77777777">
            <w:pPr>
              <w:rPr>
                <w:rFonts w:ascii="Arial" w:hAnsi="Arial" w:cs="Arial"/>
              </w:rPr>
            </w:pPr>
          </w:p>
          <w:p w:rsidR="00FA60A2" w:rsidP="0091127E" w:rsidRDefault="00FA60A2" w14:paraId="45FB0818" w14:textId="77777777">
            <w:pPr>
              <w:rPr>
                <w:rFonts w:ascii="Arial" w:hAnsi="Arial" w:cs="Arial"/>
              </w:rPr>
            </w:pPr>
          </w:p>
          <w:p w:rsidR="00FA60A2" w:rsidP="0091127E" w:rsidRDefault="00FA60A2" w14:paraId="049F31CB" w14:textId="77777777">
            <w:pPr>
              <w:rPr>
                <w:rFonts w:ascii="Arial" w:hAnsi="Arial" w:cs="Arial"/>
              </w:rPr>
            </w:pPr>
          </w:p>
          <w:p w:rsidR="00AD49F6" w:rsidP="0091127E" w:rsidRDefault="00AD49F6" w14:paraId="53128261" w14:textId="77777777">
            <w:pPr>
              <w:rPr>
                <w:rFonts w:ascii="Arial" w:hAnsi="Arial" w:cs="Arial"/>
                <w:b/>
                <w:sz w:val="52"/>
                <w:szCs w:val="52"/>
              </w:rPr>
            </w:pPr>
          </w:p>
          <w:p w:rsidRPr="00AD49F6" w:rsidR="00FA60A2" w:rsidP="0091127E" w:rsidRDefault="00BD34C9" w14:paraId="10DF401D" w14:textId="77777777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 xml:space="preserve">GLAS </w:t>
            </w:r>
            <w:r w:rsidRPr="00AD49F6" w:rsidR="00FA60A2">
              <w:rPr>
                <w:rFonts w:ascii="Arial" w:hAnsi="Arial" w:cs="Arial"/>
                <w:b/>
                <w:sz w:val="56"/>
                <w:szCs w:val="56"/>
              </w:rPr>
              <w:t>Policies and Procedures</w:t>
            </w:r>
          </w:p>
          <w:p w:rsidR="00FA60A2" w:rsidP="0091127E" w:rsidRDefault="00FA60A2" w14:paraId="62486C05" w14:textId="77777777">
            <w:pPr>
              <w:rPr>
                <w:rFonts w:ascii="Arial" w:hAnsi="Arial" w:cs="Arial"/>
              </w:rPr>
            </w:pPr>
          </w:p>
          <w:p w:rsidR="00FA60A2" w:rsidP="0091127E" w:rsidRDefault="00FA60A2" w14:paraId="4101652C" w14:textId="77777777">
            <w:pPr>
              <w:rPr>
                <w:rFonts w:ascii="Arial" w:hAnsi="Arial" w:cs="Arial"/>
              </w:rPr>
            </w:pPr>
          </w:p>
          <w:p w:rsidR="00FA60A2" w:rsidP="0091127E" w:rsidRDefault="00FA60A2" w14:paraId="4B99056E" w14:textId="77777777">
            <w:pPr>
              <w:rPr>
                <w:rFonts w:ascii="Arial" w:hAnsi="Arial" w:cs="Arial"/>
              </w:rPr>
            </w:pPr>
          </w:p>
          <w:p w:rsidR="00FA60A2" w:rsidP="0091127E" w:rsidRDefault="00FA60A2" w14:paraId="1299C43A" w14:textId="77777777">
            <w:pPr>
              <w:rPr>
                <w:rFonts w:ascii="Arial" w:hAnsi="Arial" w:cs="Arial"/>
              </w:rPr>
            </w:pPr>
          </w:p>
          <w:p w:rsidR="00E00C4A" w:rsidP="0091127E" w:rsidRDefault="00E00C4A" w14:paraId="4DDBEF00" w14:textId="77777777">
            <w:pPr>
              <w:rPr>
                <w:rFonts w:ascii="Arial" w:hAnsi="Arial" w:cs="Arial"/>
                <w:sz w:val="48"/>
                <w:szCs w:val="48"/>
              </w:rPr>
            </w:pPr>
          </w:p>
          <w:p w:rsidR="00FA60A2" w:rsidP="0091127E" w:rsidRDefault="00F27978" w14:paraId="0DA4462D" w14:textId="4EBF1E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48"/>
                <w:szCs w:val="48"/>
              </w:rPr>
              <w:t xml:space="preserve">Classification of Information </w:t>
            </w:r>
            <w:r w:rsidRPr="00EC7CF6" w:rsidR="00EC7CF6">
              <w:rPr>
                <w:rFonts w:ascii="Arial" w:hAnsi="Arial" w:cs="Arial"/>
                <w:sz w:val="48"/>
                <w:szCs w:val="48"/>
              </w:rPr>
              <w:t>P</w:t>
            </w:r>
            <w:r w:rsidR="00BD34C9">
              <w:rPr>
                <w:rFonts w:ascii="Arial" w:hAnsi="Arial" w:cs="Arial"/>
                <w:sz w:val="48"/>
                <w:szCs w:val="48"/>
              </w:rPr>
              <w:t xml:space="preserve">olicy </w:t>
            </w:r>
          </w:p>
          <w:p w:rsidR="00CD6D5C" w:rsidP="0091127E" w:rsidRDefault="00CD6D5C" w14:paraId="3461D779" w14:textId="77777777">
            <w:pPr>
              <w:rPr>
                <w:rFonts w:ascii="Arial" w:hAnsi="Arial" w:cs="Arial"/>
              </w:rPr>
            </w:pPr>
          </w:p>
          <w:p w:rsidR="00CD6D5C" w:rsidP="0091127E" w:rsidRDefault="00CD6D5C" w14:paraId="3CF2D8B6" w14:textId="77777777">
            <w:pPr>
              <w:rPr>
                <w:rFonts w:ascii="Arial" w:hAnsi="Arial" w:cs="Arial"/>
              </w:rPr>
            </w:pPr>
          </w:p>
          <w:p w:rsidRPr="00E46ED0" w:rsidR="00E46ED0" w:rsidP="00E46ED0" w:rsidRDefault="00E46ED0" w14:paraId="0FB78278" w14:textId="77777777">
            <w:pPr>
              <w:rPr>
                <w:rFonts w:ascii="Arial" w:hAnsi="Arial" w:cs="Arial"/>
              </w:rPr>
            </w:pPr>
          </w:p>
          <w:p w:rsidR="00CD6D5C" w:rsidP="0091127E" w:rsidRDefault="00CD6D5C" w14:paraId="1FC39945" w14:textId="77777777">
            <w:pPr>
              <w:rPr>
                <w:rFonts w:ascii="Arial" w:hAnsi="Arial" w:cs="Arial"/>
              </w:rPr>
            </w:pPr>
          </w:p>
        </w:tc>
      </w:tr>
      <w:tr w:rsidR="00CD6D5C" w:rsidTr="2A2111C4" w14:paraId="131F9957" w14:textId="77777777">
        <w:trPr>
          <w:trHeight w:val="842"/>
        </w:trPr>
        <w:tc>
          <w:tcPr>
            <w:tcW w:w="9356" w:type="dxa"/>
            <w:gridSpan w:val="2"/>
          </w:tcPr>
          <w:p w:rsidR="00CD6D5C" w:rsidP="00911372" w:rsidRDefault="00CD6D5C" w14:paraId="0562CB0E" w14:textId="77777777">
            <w:pPr>
              <w:rPr>
                <w:rFonts w:ascii="Arial" w:hAnsi="Arial" w:cs="Arial"/>
              </w:rPr>
            </w:pPr>
          </w:p>
          <w:p w:rsidRPr="009F6293" w:rsidR="00CD6D5C" w:rsidP="009F6293" w:rsidRDefault="00CD6D5C" w14:paraId="54A746AA" w14:textId="77777777">
            <w:pPr>
              <w:spacing w:before="240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F6293">
              <w:rPr>
                <w:rFonts w:ascii="Arial" w:hAnsi="Arial" w:cs="Arial"/>
                <w:sz w:val="22"/>
                <w:szCs w:val="22"/>
                <w:lang w:val="en-US"/>
              </w:rPr>
              <w:t>St George's, University of London, Cranmer Terrace, London  SW17 0RE</w:t>
            </w:r>
          </w:p>
        </w:tc>
      </w:tr>
    </w:tbl>
    <w:p w:rsidR="0091127E" w:rsidP="00911372" w:rsidRDefault="0091127E" w14:paraId="34CE0A41" w14:textId="77777777">
      <w:pPr>
        <w:rPr>
          <w:rFonts w:ascii="Arial" w:hAnsi="Arial" w:cs="Arial"/>
        </w:rPr>
      </w:pPr>
    </w:p>
    <w:p w:rsidR="006238C7" w:rsidP="00911372" w:rsidRDefault="006238C7" w14:paraId="62EBF3C5" w14:textId="77777777">
      <w:pPr>
        <w:rPr>
          <w:rFonts w:ascii="Arial" w:hAnsi="Arial" w:cs="Arial"/>
        </w:rPr>
      </w:pPr>
    </w:p>
    <w:p w:rsidR="003F5840" w:rsidP="00911372" w:rsidRDefault="003F5840" w14:paraId="6D98A12B" w14:textId="77777777">
      <w:pPr>
        <w:rPr>
          <w:rFonts w:ascii="Arial" w:hAnsi="Arial" w:cs="Arial"/>
        </w:rPr>
      </w:pPr>
    </w:p>
    <w:p w:rsidRPr="00855914" w:rsidR="003F5840" w:rsidP="00855914" w:rsidRDefault="003F5840" w14:paraId="406425CA" w14:textId="77777777">
      <w:pPr>
        <w:rPr>
          <w:rFonts w:ascii="Arial" w:hAnsi="Arial" w:cs="Arial"/>
          <w:b/>
          <w:sz w:val="32"/>
          <w:szCs w:val="32"/>
        </w:rPr>
      </w:pPr>
      <w:bookmarkStart w:name="_Toc508895004" w:id="0"/>
      <w:r w:rsidRPr="00855914">
        <w:rPr>
          <w:rFonts w:ascii="Arial" w:hAnsi="Arial" w:cs="Arial"/>
          <w:b/>
          <w:sz w:val="32"/>
          <w:szCs w:val="32"/>
        </w:rPr>
        <w:t>Contents</w:t>
      </w:r>
      <w:bookmarkEnd w:id="0"/>
    </w:p>
    <w:p w:rsidR="009C1135" w:rsidRDefault="00855914" w14:paraId="389D9B96" w14:textId="77777777">
      <w:pPr>
        <w:pStyle w:val="TOC1"/>
        <w:tabs>
          <w:tab w:val="left" w:pos="480"/>
          <w:tab w:val="right" w:leader="dot" w:pos="8303"/>
        </w:tabs>
        <w:rPr>
          <w:rFonts w:asciiTheme="minorHAnsi" w:hAnsiTheme="minorHAnsi" w:eastAsiaTheme="minorEastAsia" w:cstheme="minorBidi"/>
          <w:noProof/>
          <w:sz w:val="22"/>
          <w:szCs w:val="22"/>
          <w:lang w:eastAsia="en-GB"/>
        </w:rPr>
      </w:pPr>
      <w:r>
        <w:rPr>
          <w:color w:val="2B579A"/>
          <w:shd w:val="clear" w:color="auto" w:fill="E6E6E6"/>
        </w:rPr>
        <w:fldChar w:fldCharType="begin"/>
      </w:r>
      <w:r>
        <w:instrText xml:space="preserve"> TOC \o "1-3" \h \z \u </w:instrText>
      </w:r>
      <w:r>
        <w:rPr>
          <w:color w:val="2B579A"/>
          <w:shd w:val="clear" w:color="auto" w:fill="E6E6E6"/>
        </w:rPr>
        <w:fldChar w:fldCharType="separate"/>
      </w:r>
      <w:hyperlink w:history="1" w:anchor="_Toc534207114">
        <w:r w:rsidRPr="00163DA9" w:rsidR="009C1135">
          <w:rPr>
            <w:rStyle w:val="Hyperlink"/>
            <w:noProof/>
          </w:rPr>
          <w:t>1.</w:t>
        </w:r>
        <w:r w:rsidR="009C1135">
          <w:rPr>
            <w:rFonts w:asciiTheme="minorHAnsi" w:hAnsiTheme="minorHAnsi" w:eastAsiaTheme="minorEastAsia" w:cstheme="minorBidi"/>
            <w:noProof/>
            <w:sz w:val="22"/>
            <w:szCs w:val="22"/>
            <w:lang w:eastAsia="en-GB"/>
          </w:rPr>
          <w:tab/>
        </w:r>
        <w:r w:rsidRPr="00163DA9" w:rsidR="009C1135">
          <w:rPr>
            <w:rStyle w:val="Hyperlink"/>
            <w:noProof/>
          </w:rPr>
          <w:t>Purpose</w:t>
        </w:r>
        <w:r w:rsidR="009C1135">
          <w:rPr>
            <w:noProof/>
            <w:webHidden/>
          </w:rPr>
          <w:tab/>
        </w:r>
        <w:r w:rsidR="009C1135">
          <w:rPr>
            <w:noProof/>
            <w:webHidden/>
            <w:color w:val="2B579A"/>
            <w:shd w:val="clear" w:color="auto" w:fill="E6E6E6"/>
          </w:rPr>
          <w:fldChar w:fldCharType="begin"/>
        </w:r>
        <w:r w:rsidR="009C1135">
          <w:rPr>
            <w:noProof/>
            <w:webHidden/>
          </w:rPr>
          <w:instrText xml:space="preserve"> PAGEREF _Toc534207114 \h </w:instrText>
        </w:r>
        <w:r w:rsidR="009C1135">
          <w:rPr>
            <w:noProof/>
            <w:webHidden/>
            <w:color w:val="2B579A"/>
            <w:shd w:val="clear" w:color="auto" w:fill="E6E6E6"/>
          </w:rPr>
        </w:r>
        <w:r w:rsidR="009C1135">
          <w:rPr>
            <w:noProof/>
            <w:webHidden/>
            <w:color w:val="2B579A"/>
            <w:shd w:val="clear" w:color="auto" w:fill="E6E6E6"/>
          </w:rPr>
          <w:fldChar w:fldCharType="separate"/>
        </w:r>
        <w:r w:rsidR="009C1135">
          <w:rPr>
            <w:noProof/>
            <w:webHidden/>
          </w:rPr>
          <w:t>3</w:t>
        </w:r>
        <w:r w:rsidR="009C1135">
          <w:rPr>
            <w:noProof/>
            <w:webHidden/>
            <w:color w:val="2B579A"/>
            <w:shd w:val="clear" w:color="auto" w:fill="E6E6E6"/>
          </w:rPr>
          <w:fldChar w:fldCharType="end"/>
        </w:r>
      </w:hyperlink>
    </w:p>
    <w:p w:rsidR="009C1135" w:rsidRDefault="009C1135" w14:paraId="420C45E1" w14:textId="77777777">
      <w:pPr>
        <w:pStyle w:val="TOC1"/>
        <w:tabs>
          <w:tab w:val="left" w:pos="480"/>
          <w:tab w:val="right" w:leader="dot" w:pos="8303"/>
        </w:tabs>
        <w:rPr>
          <w:rFonts w:asciiTheme="minorHAnsi" w:hAnsiTheme="minorHAnsi" w:eastAsiaTheme="minorEastAsia" w:cstheme="minorBidi"/>
          <w:noProof/>
          <w:sz w:val="22"/>
          <w:szCs w:val="22"/>
          <w:lang w:eastAsia="en-GB"/>
        </w:rPr>
      </w:pPr>
      <w:hyperlink w:history="1" w:anchor="_Toc534207115">
        <w:r w:rsidRPr="00163DA9">
          <w:rPr>
            <w:rStyle w:val="Hyperlink"/>
            <w:noProof/>
          </w:rPr>
          <w:t>2.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  <w:lang w:eastAsia="en-GB"/>
          </w:rPr>
          <w:tab/>
        </w:r>
        <w:r w:rsidRPr="00163DA9">
          <w:rPr>
            <w:rStyle w:val="Hyperlink"/>
            <w:noProof/>
          </w:rPr>
          <w:t>Overview</w:t>
        </w:r>
        <w:r>
          <w:rPr>
            <w:noProof/>
            <w:webHidden/>
          </w:rPr>
          <w:tab/>
        </w:r>
        <w:r>
          <w:rPr>
            <w:noProof/>
            <w:webHidden/>
            <w:color w:val="2B579A"/>
            <w:shd w:val="clear" w:color="auto" w:fill="E6E6E6"/>
          </w:rPr>
          <w:fldChar w:fldCharType="begin"/>
        </w:r>
        <w:r>
          <w:rPr>
            <w:noProof/>
            <w:webHidden/>
          </w:rPr>
          <w:instrText xml:space="preserve"> PAGEREF _Toc534207115 \h </w:instrText>
        </w:r>
        <w:r>
          <w:rPr>
            <w:noProof/>
            <w:webHidden/>
            <w:color w:val="2B579A"/>
            <w:shd w:val="clear" w:color="auto" w:fill="E6E6E6"/>
          </w:rPr>
        </w:r>
        <w:r>
          <w:rPr>
            <w:noProof/>
            <w:webHidden/>
            <w:color w:val="2B579A"/>
            <w:shd w:val="clear" w:color="auto" w:fill="E6E6E6"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  <w:color w:val="2B579A"/>
            <w:shd w:val="clear" w:color="auto" w:fill="E6E6E6"/>
          </w:rPr>
          <w:fldChar w:fldCharType="end"/>
        </w:r>
      </w:hyperlink>
    </w:p>
    <w:p w:rsidR="009C1135" w:rsidRDefault="009C1135" w14:paraId="609831C6" w14:textId="77777777">
      <w:pPr>
        <w:pStyle w:val="TOC1"/>
        <w:tabs>
          <w:tab w:val="left" w:pos="480"/>
          <w:tab w:val="right" w:leader="dot" w:pos="8303"/>
        </w:tabs>
        <w:rPr>
          <w:rFonts w:asciiTheme="minorHAnsi" w:hAnsiTheme="minorHAnsi" w:eastAsiaTheme="minorEastAsia" w:cstheme="minorBidi"/>
          <w:noProof/>
          <w:sz w:val="22"/>
          <w:szCs w:val="22"/>
          <w:lang w:eastAsia="en-GB"/>
        </w:rPr>
      </w:pPr>
      <w:hyperlink w:history="1" w:anchor="_Toc534207116">
        <w:r w:rsidRPr="00163DA9">
          <w:rPr>
            <w:rStyle w:val="Hyperlink"/>
            <w:noProof/>
          </w:rPr>
          <w:t>3.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  <w:lang w:eastAsia="en-GB"/>
          </w:rPr>
          <w:tab/>
        </w:r>
        <w:r w:rsidRPr="00163DA9">
          <w:rPr>
            <w:rStyle w:val="Hyperlink"/>
            <w:noProof/>
          </w:rPr>
          <w:t>Scope</w:t>
        </w:r>
        <w:r>
          <w:rPr>
            <w:noProof/>
            <w:webHidden/>
          </w:rPr>
          <w:tab/>
        </w:r>
        <w:r>
          <w:rPr>
            <w:noProof/>
            <w:webHidden/>
            <w:color w:val="2B579A"/>
            <w:shd w:val="clear" w:color="auto" w:fill="E6E6E6"/>
          </w:rPr>
          <w:fldChar w:fldCharType="begin"/>
        </w:r>
        <w:r>
          <w:rPr>
            <w:noProof/>
            <w:webHidden/>
          </w:rPr>
          <w:instrText xml:space="preserve"> PAGEREF _Toc534207116 \h </w:instrText>
        </w:r>
        <w:r>
          <w:rPr>
            <w:noProof/>
            <w:webHidden/>
            <w:color w:val="2B579A"/>
            <w:shd w:val="clear" w:color="auto" w:fill="E6E6E6"/>
          </w:rPr>
        </w:r>
        <w:r>
          <w:rPr>
            <w:noProof/>
            <w:webHidden/>
            <w:color w:val="2B579A"/>
            <w:shd w:val="clear" w:color="auto" w:fill="E6E6E6"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  <w:color w:val="2B579A"/>
            <w:shd w:val="clear" w:color="auto" w:fill="E6E6E6"/>
          </w:rPr>
          <w:fldChar w:fldCharType="end"/>
        </w:r>
      </w:hyperlink>
    </w:p>
    <w:p w:rsidR="009C1135" w:rsidRDefault="009C1135" w14:paraId="0164FCFA" w14:textId="77777777">
      <w:pPr>
        <w:pStyle w:val="TOC1"/>
        <w:tabs>
          <w:tab w:val="left" w:pos="480"/>
          <w:tab w:val="right" w:leader="dot" w:pos="8303"/>
        </w:tabs>
        <w:rPr>
          <w:rFonts w:asciiTheme="minorHAnsi" w:hAnsiTheme="minorHAnsi" w:eastAsiaTheme="minorEastAsia" w:cstheme="minorBidi"/>
          <w:noProof/>
          <w:sz w:val="22"/>
          <w:szCs w:val="22"/>
          <w:lang w:eastAsia="en-GB"/>
        </w:rPr>
      </w:pPr>
      <w:hyperlink w:history="1" w:anchor="_Toc534207117">
        <w:r w:rsidRPr="00163DA9">
          <w:rPr>
            <w:rStyle w:val="Hyperlink"/>
            <w:noProof/>
          </w:rPr>
          <w:t>4.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  <w:lang w:eastAsia="en-GB"/>
          </w:rPr>
          <w:tab/>
        </w:r>
        <w:r w:rsidRPr="00163DA9">
          <w:rPr>
            <w:rStyle w:val="Hyperlink"/>
            <w:noProof/>
          </w:rPr>
          <w:t>Policy</w:t>
        </w:r>
        <w:r>
          <w:rPr>
            <w:noProof/>
            <w:webHidden/>
          </w:rPr>
          <w:tab/>
        </w:r>
        <w:r>
          <w:rPr>
            <w:noProof/>
            <w:webHidden/>
            <w:color w:val="2B579A"/>
            <w:shd w:val="clear" w:color="auto" w:fill="E6E6E6"/>
          </w:rPr>
          <w:fldChar w:fldCharType="begin"/>
        </w:r>
        <w:r>
          <w:rPr>
            <w:noProof/>
            <w:webHidden/>
          </w:rPr>
          <w:instrText xml:space="preserve"> PAGEREF _Toc534207117 \h </w:instrText>
        </w:r>
        <w:r>
          <w:rPr>
            <w:noProof/>
            <w:webHidden/>
            <w:color w:val="2B579A"/>
            <w:shd w:val="clear" w:color="auto" w:fill="E6E6E6"/>
          </w:rPr>
        </w:r>
        <w:r>
          <w:rPr>
            <w:noProof/>
            <w:webHidden/>
            <w:color w:val="2B579A"/>
            <w:shd w:val="clear" w:color="auto" w:fill="E6E6E6"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  <w:color w:val="2B579A"/>
            <w:shd w:val="clear" w:color="auto" w:fill="E6E6E6"/>
          </w:rPr>
          <w:fldChar w:fldCharType="end"/>
        </w:r>
      </w:hyperlink>
    </w:p>
    <w:p w:rsidR="009C1135" w:rsidRDefault="009C1135" w14:paraId="7837F75E" w14:textId="77777777">
      <w:pPr>
        <w:pStyle w:val="TOC1"/>
        <w:tabs>
          <w:tab w:val="left" w:pos="480"/>
          <w:tab w:val="right" w:leader="dot" w:pos="8303"/>
        </w:tabs>
        <w:rPr>
          <w:rFonts w:asciiTheme="minorHAnsi" w:hAnsiTheme="minorHAnsi" w:eastAsiaTheme="minorEastAsia" w:cstheme="minorBidi"/>
          <w:noProof/>
          <w:sz w:val="22"/>
          <w:szCs w:val="22"/>
          <w:lang w:eastAsia="en-GB"/>
        </w:rPr>
      </w:pPr>
      <w:hyperlink w:history="1" w:anchor="_Toc534207118">
        <w:r w:rsidRPr="00163DA9">
          <w:rPr>
            <w:rStyle w:val="Hyperlink"/>
            <w:noProof/>
          </w:rPr>
          <w:t>5.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  <w:lang w:eastAsia="en-GB"/>
          </w:rPr>
          <w:tab/>
        </w:r>
        <w:r w:rsidRPr="00163DA9">
          <w:rPr>
            <w:rStyle w:val="Hyperlink"/>
            <w:noProof/>
          </w:rPr>
          <w:t>Glossary</w:t>
        </w:r>
        <w:r>
          <w:rPr>
            <w:noProof/>
            <w:webHidden/>
          </w:rPr>
          <w:tab/>
        </w:r>
        <w:r>
          <w:rPr>
            <w:noProof/>
            <w:webHidden/>
            <w:color w:val="2B579A"/>
            <w:shd w:val="clear" w:color="auto" w:fill="E6E6E6"/>
          </w:rPr>
          <w:fldChar w:fldCharType="begin"/>
        </w:r>
        <w:r>
          <w:rPr>
            <w:noProof/>
            <w:webHidden/>
          </w:rPr>
          <w:instrText xml:space="preserve"> PAGEREF _Toc534207118 \h </w:instrText>
        </w:r>
        <w:r>
          <w:rPr>
            <w:noProof/>
            <w:webHidden/>
            <w:color w:val="2B579A"/>
            <w:shd w:val="clear" w:color="auto" w:fill="E6E6E6"/>
          </w:rPr>
        </w:r>
        <w:r>
          <w:rPr>
            <w:noProof/>
            <w:webHidden/>
            <w:color w:val="2B579A"/>
            <w:shd w:val="clear" w:color="auto" w:fill="E6E6E6"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  <w:color w:val="2B579A"/>
            <w:shd w:val="clear" w:color="auto" w:fill="E6E6E6"/>
          </w:rPr>
          <w:fldChar w:fldCharType="end"/>
        </w:r>
      </w:hyperlink>
    </w:p>
    <w:p w:rsidR="009C1135" w:rsidRDefault="009C1135" w14:paraId="1D798C73" w14:textId="77777777">
      <w:pPr>
        <w:pStyle w:val="TOC1"/>
        <w:tabs>
          <w:tab w:val="left" w:pos="480"/>
          <w:tab w:val="right" w:leader="dot" w:pos="8303"/>
        </w:tabs>
        <w:rPr>
          <w:rFonts w:asciiTheme="minorHAnsi" w:hAnsiTheme="minorHAnsi" w:eastAsiaTheme="minorEastAsia" w:cstheme="minorBidi"/>
          <w:noProof/>
          <w:sz w:val="22"/>
          <w:szCs w:val="22"/>
          <w:lang w:eastAsia="en-GB"/>
        </w:rPr>
      </w:pPr>
      <w:hyperlink w:history="1" w:anchor="_Toc534207119">
        <w:r w:rsidRPr="00163DA9">
          <w:rPr>
            <w:rStyle w:val="Hyperlink"/>
            <w:noProof/>
          </w:rPr>
          <w:t>6.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  <w:lang w:eastAsia="en-GB"/>
          </w:rPr>
          <w:tab/>
        </w:r>
        <w:r w:rsidRPr="00163DA9">
          <w:rPr>
            <w:rStyle w:val="Hyperlink"/>
            <w:noProof/>
          </w:rPr>
          <w:t>Authorisation and monitoring</w:t>
        </w:r>
        <w:r>
          <w:rPr>
            <w:noProof/>
            <w:webHidden/>
          </w:rPr>
          <w:tab/>
        </w:r>
        <w:r>
          <w:rPr>
            <w:noProof/>
            <w:webHidden/>
            <w:color w:val="2B579A"/>
            <w:shd w:val="clear" w:color="auto" w:fill="E6E6E6"/>
          </w:rPr>
          <w:fldChar w:fldCharType="begin"/>
        </w:r>
        <w:r>
          <w:rPr>
            <w:noProof/>
            <w:webHidden/>
          </w:rPr>
          <w:instrText xml:space="preserve"> PAGEREF _Toc534207119 \h </w:instrText>
        </w:r>
        <w:r>
          <w:rPr>
            <w:noProof/>
            <w:webHidden/>
            <w:color w:val="2B579A"/>
            <w:shd w:val="clear" w:color="auto" w:fill="E6E6E6"/>
          </w:rPr>
        </w:r>
        <w:r>
          <w:rPr>
            <w:noProof/>
            <w:webHidden/>
            <w:color w:val="2B579A"/>
            <w:shd w:val="clear" w:color="auto" w:fill="E6E6E6"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  <w:color w:val="2B579A"/>
            <w:shd w:val="clear" w:color="auto" w:fill="E6E6E6"/>
          </w:rPr>
          <w:fldChar w:fldCharType="end"/>
        </w:r>
      </w:hyperlink>
    </w:p>
    <w:p w:rsidR="009C1135" w:rsidRDefault="009C1135" w14:paraId="461898FD" w14:textId="77777777">
      <w:pPr>
        <w:pStyle w:val="TOC1"/>
        <w:tabs>
          <w:tab w:val="right" w:leader="dot" w:pos="8303"/>
        </w:tabs>
        <w:rPr>
          <w:rFonts w:asciiTheme="minorHAnsi" w:hAnsiTheme="minorHAnsi" w:eastAsiaTheme="minorEastAsia" w:cstheme="minorBidi"/>
          <w:noProof/>
          <w:sz w:val="22"/>
          <w:szCs w:val="22"/>
          <w:lang w:eastAsia="en-GB"/>
        </w:rPr>
      </w:pPr>
      <w:hyperlink w:history="1" w:anchor="_Toc534207120">
        <w:r w:rsidRPr="00163DA9">
          <w:rPr>
            <w:rStyle w:val="Hyperlink"/>
            <w:rFonts w:eastAsia="Arial"/>
            <w:bCs/>
            <w:noProof/>
          </w:rPr>
          <w:t>Document Information</w:t>
        </w:r>
        <w:r>
          <w:rPr>
            <w:noProof/>
            <w:webHidden/>
          </w:rPr>
          <w:tab/>
        </w:r>
        <w:r>
          <w:rPr>
            <w:noProof/>
            <w:webHidden/>
            <w:color w:val="2B579A"/>
            <w:shd w:val="clear" w:color="auto" w:fill="E6E6E6"/>
          </w:rPr>
          <w:fldChar w:fldCharType="begin"/>
        </w:r>
        <w:r>
          <w:rPr>
            <w:noProof/>
            <w:webHidden/>
          </w:rPr>
          <w:instrText xml:space="preserve"> PAGEREF _Toc534207120 \h </w:instrText>
        </w:r>
        <w:r>
          <w:rPr>
            <w:noProof/>
            <w:webHidden/>
            <w:color w:val="2B579A"/>
            <w:shd w:val="clear" w:color="auto" w:fill="E6E6E6"/>
          </w:rPr>
        </w:r>
        <w:r>
          <w:rPr>
            <w:noProof/>
            <w:webHidden/>
            <w:color w:val="2B579A"/>
            <w:shd w:val="clear" w:color="auto" w:fill="E6E6E6"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  <w:color w:val="2B579A"/>
            <w:shd w:val="clear" w:color="auto" w:fill="E6E6E6"/>
          </w:rPr>
          <w:fldChar w:fldCharType="end"/>
        </w:r>
      </w:hyperlink>
    </w:p>
    <w:p w:rsidR="009C1135" w:rsidRDefault="009C1135" w14:paraId="625EA267" w14:textId="77777777">
      <w:pPr>
        <w:pStyle w:val="TOC1"/>
        <w:tabs>
          <w:tab w:val="right" w:leader="dot" w:pos="8303"/>
        </w:tabs>
        <w:rPr>
          <w:rFonts w:asciiTheme="minorHAnsi" w:hAnsiTheme="minorHAnsi" w:eastAsiaTheme="minorEastAsia" w:cstheme="minorBidi"/>
          <w:noProof/>
          <w:sz w:val="22"/>
          <w:szCs w:val="22"/>
          <w:lang w:eastAsia="en-GB"/>
        </w:rPr>
      </w:pPr>
      <w:hyperlink w:history="1" w:anchor="_Toc534207121">
        <w:r w:rsidRPr="00163DA9">
          <w:rPr>
            <w:rStyle w:val="Hyperlink"/>
            <w:rFonts w:eastAsia="Arial"/>
            <w:bCs/>
            <w:noProof/>
          </w:rPr>
          <w:t>Document History</w:t>
        </w:r>
        <w:r>
          <w:rPr>
            <w:noProof/>
            <w:webHidden/>
          </w:rPr>
          <w:tab/>
        </w:r>
        <w:r>
          <w:rPr>
            <w:noProof/>
            <w:webHidden/>
            <w:color w:val="2B579A"/>
            <w:shd w:val="clear" w:color="auto" w:fill="E6E6E6"/>
          </w:rPr>
          <w:fldChar w:fldCharType="begin"/>
        </w:r>
        <w:r>
          <w:rPr>
            <w:noProof/>
            <w:webHidden/>
          </w:rPr>
          <w:instrText xml:space="preserve"> PAGEREF _Toc534207121 \h </w:instrText>
        </w:r>
        <w:r>
          <w:rPr>
            <w:noProof/>
            <w:webHidden/>
            <w:color w:val="2B579A"/>
            <w:shd w:val="clear" w:color="auto" w:fill="E6E6E6"/>
          </w:rPr>
        </w:r>
        <w:r>
          <w:rPr>
            <w:noProof/>
            <w:webHidden/>
            <w:color w:val="2B579A"/>
            <w:shd w:val="clear" w:color="auto" w:fill="E6E6E6"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  <w:color w:val="2B579A"/>
            <w:shd w:val="clear" w:color="auto" w:fill="E6E6E6"/>
          </w:rPr>
          <w:fldChar w:fldCharType="end"/>
        </w:r>
      </w:hyperlink>
    </w:p>
    <w:p w:rsidRPr="00F36FAC" w:rsidR="00F36FAC" w:rsidP="00F36FAC" w:rsidRDefault="00855914" w14:paraId="2946DB82" w14:textId="77777777">
      <w:r>
        <w:rPr>
          <w:color w:val="2B579A"/>
          <w:shd w:val="clear" w:color="auto" w:fill="E6E6E6"/>
        </w:rPr>
        <w:fldChar w:fldCharType="end"/>
      </w:r>
    </w:p>
    <w:p w:rsidR="00C7528A" w:rsidRDefault="00C7528A" w14:paraId="5997CC1D" w14:textId="77777777">
      <w:pPr>
        <w:rPr>
          <w:rFonts w:ascii="Arial" w:hAnsi="Arial" w:cs="Arial"/>
        </w:rPr>
      </w:pPr>
    </w:p>
    <w:p w:rsidR="00C7528A" w:rsidRDefault="00C7528A" w14:paraId="110FFD37" w14:textId="7777777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Pr="00CE2D0B" w:rsidR="00B20F7A" w:rsidP="00B20F7A" w:rsidRDefault="00BD34C9" w14:paraId="1BD503EB" w14:textId="77777777">
      <w:pPr>
        <w:pStyle w:val="Heading1"/>
        <w:keepNext w:val="0"/>
        <w:numPr>
          <w:ilvl w:val="0"/>
          <w:numId w:val="4"/>
        </w:numPr>
        <w:spacing w:before="0" w:after="0"/>
        <w:contextualSpacing/>
      </w:pPr>
      <w:bookmarkStart w:name="_Toc534207114" w:id="1"/>
      <w:r>
        <w:lastRenderedPageBreak/>
        <w:t>Purpose</w:t>
      </w:r>
      <w:bookmarkEnd w:id="1"/>
      <w:r>
        <w:t xml:space="preserve"> </w:t>
      </w:r>
    </w:p>
    <w:p w:rsidRPr="00CE2D0B" w:rsidR="00B20F7A" w:rsidP="00B20F7A" w:rsidRDefault="00B20F7A" w14:paraId="6B699379" w14:textId="77777777"/>
    <w:p w:rsidR="00687679" w:rsidP="00BD34C9" w:rsidRDefault="00F329CF" w14:paraId="60B0ECA2" w14:textId="3E4CB40E">
      <w:pPr>
        <w:rPr>
          <w:rFonts w:ascii="Arial" w:hAnsi="Arial" w:cs="Arial"/>
        </w:rPr>
      </w:pPr>
      <w:r>
        <w:rPr>
          <w:rFonts w:ascii="Arial" w:hAnsi="Arial" w:cs="Arial"/>
        </w:rPr>
        <w:t>St George’s, University of London</w:t>
      </w:r>
      <w:r w:rsidR="00FA3390">
        <w:rPr>
          <w:rFonts w:ascii="Arial" w:hAnsi="Arial" w:cs="Arial"/>
        </w:rPr>
        <w:t xml:space="preserve"> (St George’s)</w:t>
      </w:r>
      <w:r>
        <w:rPr>
          <w:rFonts w:ascii="Arial" w:hAnsi="Arial" w:cs="Arial"/>
        </w:rPr>
        <w:t xml:space="preserve"> </w:t>
      </w:r>
      <w:r w:rsidR="00687679">
        <w:rPr>
          <w:rFonts w:ascii="Arial" w:hAnsi="Arial" w:cs="Arial"/>
        </w:rPr>
        <w:t xml:space="preserve">staff </w:t>
      </w:r>
      <w:r>
        <w:rPr>
          <w:rFonts w:ascii="Arial" w:hAnsi="Arial" w:cs="Arial"/>
        </w:rPr>
        <w:t xml:space="preserve">creates and uses information to support </w:t>
      </w:r>
      <w:r w:rsidR="00687679">
        <w:rPr>
          <w:rFonts w:ascii="Arial" w:hAnsi="Arial" w:cs="Arial"/>
        </w:rPr>
        <w:t xml:space="preserve">its </w:t>
      </w:r>
      <w:r w:rsidR="001A4E96">
        <w:rPr>
          <w:rFonts w:ascii="Arial" w:hAnsi="Arial" w:cs="Arial"/>
        </w:rPr>
        <w:t>day-to-day</w:t>
      </w:r>
      <w:r w:rsidR="00687679">
        <w:rPr>
          <w:rFonts w:ascii="Arial" w:hAnsi="Arial" w:cs="Arial"/>
        </w:rPr>
        <w:t xml:space="preserve"> business activities and to achieve its research and educational objectives.  We all have a role to play in protecting the information we create for use internally and for information we share externally.  </w:t>
      </w:r>
    </w:p>
    <w:p w:rsidR="00F329CF" w:rsidP="00BD34C9" w:rsidRDefault="00F329CF" w14:paraId="478DD819" w14:textId="77777777">
      <w:pPr>
        <w:rPr>
          <w:rFonts w:ascii="Arial" w:hAnsi="Arial" w:cs="Arial"/>
        </w:rPr>
      </w:pPr>
    </w:p>
    <w:p w:rsidR="002F342B" w:rsidP="00BD34C9" w:rsidRDefault="00F329CF" w14:paraId="5CC9E986" w14:textId="40A966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policy outlines the different </w:t>
      </w:r>
      <w:r w:rsidR="00687679">
        <w:rPr>
          <w:rFonts w:ascii="Arial" w:hAnsi="Arial" w:cs="Arial"/>
        </w:rPr>
        <w:t>classifications that can be used to protect our information</w:t>
      </w:r>
      <w:r w:rsidR="000F75F1">
        <w:rPr>
          <w:rFonts w:ascii="Arial" w:hAnsi="Arial" w:cs="Arial"/>
        </w:rPr>
        <w:t xml:space="preserve">.  </w:t>
      </w:r>
      <w:r w:rsidR="002F342B">
        <w:rPr>
          <w:rFonts w:ascii="Arial" w:hAnsi="Arial" w:cs="Arial"/>
        </w:rPr>
        <w:t>Classifying our records supports three key components of information security:</w:t>
      </w:r>
    </w:p>
    <w:p w:rsidR="002F342B" w:rsidP="00BD34C9" w:rsidRDefault="002F342B" w14:paraId="26D7B6FF" w14:textId="3C94288F">
      <w:pPr>
        <w:rPr>
          <w:rFonts w:ascii="Arial" w:hAnsi="Arial" w:cs="Arial"/>
        </w:rPr>
      </w:pPr>
    </w:p>
    <w:p w:rsidR="002F342B" w:rsidP="00BD34C9" w:rsidRDefault="002F342B" w14:paraId="1AE4BA36" w14:textId="0710AD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Confidentiality, </w:t>
      </w:r>
    </w:p>
    <w:p w:rsidR="002F342B" w:rsidP="00BD34C9" w:rsidRDefault="002F342B" w14:paraId="25E9371E" w14:textId="675F1C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Integrity, and </w:t>
      </w:r>
    </w:p>
    <w:p w:rsidRPr="00BD34C9" w:rsidR="002F342B" w:rsidP="00BD34C9" w:rsidRDefault="002F342B" w14:paraId="46C68BB5" w14:textId="775BE9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Availability. </w:t>
      </w:r>
    </w:p>
    <w:p w:rsidR="00BD34C9" w:rsidP="00EC7CF6" w:rsidRDefault="00BD34C9" w14:paraId="3FE9F23F" w14:textId="77777777">
      <w:pPr>
        <w:rPr>
          <w:rFonts w:ascii="Arial" w:hAnsi="Arial" w:cs="Arial"/>
        </w:rPr>
      </w:pPr>
    </w:p>
    <w:p w:rsidRPr="00CE2D0B" w:rsidR="00B20F7A" w:rsidP="00B20F7A" w:rsidRDefault="00BD34C9" w14:paraId="082AA643" w14:textId="77777777">
      <w:pPr>
        <w:pStyle w:val="Heading1"/>
        <w:keepNext w:val="0"/>
        <w:numPr>
          <w:ilvl w:val="0"/>
          <w:numId w:val="4"/>
        </w:numPr>
        <w:spacing w:before="0" w:after="0"/>
        <w:contextualSpacing/>
      </w:pPr>
      <w:bookmarkStart w:name="_Toc534207115" w:id="2"/>
      <w:r>
        <w:t>Overview</w:t>
      </w:r>
      <w:bookmarkEnd w:id="2"/>
      <w:r>
        <w:t xml:space="preserve"> </w:t>
      </w:r>
    </w:p>
    <w:p w:rsidRPr="00CE2D0B" w:rsidR="00B20F7A" w:rsidP="00B20F7A" w:rsidRDefault="00B20F7A" w14:paraId="1F72F646" w14:textId="77777777"/>
    <w:p w:rsidR="002F342B" w:rsidP="004E2C3F" w:rsidRDefault="00FA3390" w14:paraId="2FF4DBA3" w14:textId="089323F6">
      <w:pPr>
        <w:rPr>
          <w:rFonts w:ascii="Arial" w:hAnsi="Arial" w:cs="Arial"/>
        </w:rPr>
      </w:pPr>
      <w:r>
        <w:rPr>
          <w:rFonts w:ascii="Arial" w:hAnsi="Arial" w:cs="Arial"/>
        </w:rPr>
        <w:t>St George’s</w:t>
      </w:r>
      <w:r w:rsidRPr="6E048C7A">
        <w:rPr>
          <w:rFonts w:ascii="Arial" w:hAnsi="Arial" w:cs="Arial"/>
        </w:rPr>
        <w:t xml:space="preserve"> </w:t>
      </w:r>
      <w:r w:rsidRPr="6E048C7A" w:rsidR="002F342B">
        <w:rPr>
          <w:rFonts w:ascii="Arial" w:hAnsi="Arial" w:cs="Arial"/>
        </w:rPr>
        <w:t>information assets</w:t>
      </w:r>
      <w:r w:rsidR="00B0617E">
        <w:rPr>
          <w:rFonts w:ascii="Arial" w:hAnsi="Arial" w:cs="Arial"/>
        </w:rPr>
        <w:t xml:space="preserve"> </w:t>
      </w:r>
      <w:r w:rsidR="00B0617E">
        <w:rPr>
          <w:rStyle w:val="FootnoteReference"/>
          <w:rFonts w:ascii="Arial" w:hAnsi="Arial" w:cs="Arial"/>
        </w:rPr>
        <w:footnoteReference w:id="1"/>
      </w:r>
      <w:r w:rsidR="00B0617E">
        <w:rPr>
          <w:rFonts w:ascii="Arial" w:hAnsi="Arial" w:cs="Arial"/>
        </w:rPr>
        <w:t xml:space="preserve"> </w:t>
      </w:r>
      <w:r w:rsidRPr="6E048C7A" w:rsidR="002F342B">
        <w:rPr>
          <w:rFonts w:ascii="Arial" w:hAnsi="Arial" w:cs="Arial"/>
        </w:rPr>
        <w:t xml:space="preserve">must be secured against unauthorised access, disclosure, or modification.  Information assets should be classified and accorded different levels of security in relation to their importance and associated duty of confidentiality.  </w:t>
      </w:r>
    </w:p>
    <w:p w:rsidR="002F4745" w:rsidP="004E2C3F" w:rsidRDefault="002F4745" w14:paraId="1A1B3F2B" w14:textId="2253040E">
      <w:pPr>
        <w:rPr>
          <w:rFonts w:ascii="Arial" w:hAnsi="Arial" w:cs="Arial"/>
        </w:rPr>
      </w:pPr>
    </w:p>
    <w:p w:rsidR="00BD34C9" w:rsidP="004E2C3F" w:rsidRDefault="0036387E" w14:paraId="6AA570DF" w14:textId="1C1D6D3F">
      <w:pPr>
        <w:rPr>
          <w:rFonts w:ascii="Arial" w:hAnsi="Arial" w:cs="Arial"/>
        </w:rPr>
      </w:pPr>
      <w:r w:rsidRPr="0036387E">
        <w:rPr>
          <w:rFonts w:ascii="Arial" w:hAnsi="Arial" w:cs="Arial"/>
        </w:rPr>
        <w:t xml:space="preserve">All SGUL </w:t>
      </w:r>
      <w:r>
        <w:rPr>
          <w:rFonts w:ascii="Arial" w:hAnsi="Arial" w:cs="Arial"/>
        </w:rPr>
        <w:t>information assets should have a classification applied according to:</w:t>
      </w:r>
    </w:p>
    <w:p w:rsidR="0036387E" w:rsidP="004E2C3F" w:rsidRDefault="0036387E" w14:paraId="08CE6F91" w14:textId="77777777">
      <w:pPr>
        <w:rPr>
          <w:rFonts w:ascii="Arial" w:hAnsi="Arial" w:cs="Arial"/>
        </w:rPr>
      </w:pPr>
    </w:p>
    <w:p w:rsidR="0036387E" w:rsidP="77AE11BA" w:rsidRDefault="77AE11BA" w14:paraId="687990C0" w14:textId="28F5827C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28CC957A">
        <w:rPr>
          <w:sz w:val="24"/>
          <w:szCs w:val="24"/>
        </w:rPr>
        <w:t xml:space="preserve">The business value to </w:t>
      </w:r>
      <w:r w:rsidRPr="00756DD2" w:rsidR="00756DD2">
        <w:rPr>
          <w:sz w:val="24"/>
          <w:szCs w:val="24"/>
        </w:rPr>
        <w:t>St George’s</w:t>
      </w:r>
    </w:p>
    <w:p w:rsidR="00A42EEF" w:rsidP="77AE11BA" w:rsidRDefault="77AE11BA" w14:paraId="161856CB" w14:textId="20D5B424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77AE11BA">
        <w:rPr>
          <w:sz w:val="24"/>
          <w:szCs w:val="24"/>
        </w:rPr>
        <w:t xml:space="preserve"> Sensitivity of the contents of the information asset,</w:t>
      </w:r>
    </w:p>
    <w:p w:rsidRPr="00E2029D" w:rsidR="00A42EEF" w:rsidP="00E2029D" w:rsidRDefault="77AE11BA" w14:paraId="54FCDA28" w14:textId="2F1CA30D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77AE11BA">
        <w:rPr>
          <w:sz w:val="24"/>
          <w:szCs w:val="24"/>
        </w:rPr>
        <w:t xml:space="preserve"> Legal requirements regarding how information is managed </w:t>
      </w:r>
      <w:r w:rsidRPr="77AE11BA" w:rsidR="001A4E96">
        <w:rPr>
          <w:sz w:val="24"/>
          <w:szCs w:val="24"/>
        </w:rPr>
        <w:t>i.e.,</w:t>
      </w:r>
      <w:r w:rsidRPr="77AE11BA">
        <w:rPr>
          <w:sz w:val="24"/>
          <w:szCs w:val="24"/>
        </w:rPr>
        <w:t xml:space="preserve"> Data</w:t>
      </w:r>
      <w:r w:rsidR="00E2029D">
        <w:rPr>
          <w:sz w:val="24"/>
          <w:szCs w:val="24"/>
        </w:rPr>
        <w:t xml:space="preserve"> </w:t>
      </w:r>
      <w:r w:rsidRPr="77AE11BA">
        <w:rPr>
          <w:sz w:val="24"/>
          <w:szCs w:val="24"/>
        </w:rPr>
        <w:t>Protection Legislation</w:t>
      </w:r>
      <w:r w:rsidR="00E2029D">
        <w:rPr>
          <w:sz w:val="24"/>
          <w:szCs w:val="24"/>
        </w:rPr>
        <w:t>.</w:t>
      </w:r>
    </w:p>
    <w:p w:rsidR="0069681F" w:rsidP="0069681F" w:rsidRDefault="0069681F" w14:paraId="61CDCEAD" w14:textId="77777777">
      <w:pPr>
        <w:rPr>
          <w:rFonts w:ascii="Arial" w:hAnsi="Arial" w:cs="Arial"/>
        </w:rPr>
      </w:pPr>
    </w:p>
    <w:p w:rsidR="00EC7CF6" w:rsidP="00EC7CF6" w:rsidRDefault="00BD34C9" w14:paraId="451381E3" w14:textId="77777777">
      <w:pPr>
        <w:pStyle w:val="Heading1"/>
        <w:keepNext w:val="0"/>
        <w:numPr>
          <w:ilvl w:val="0"/>
          <w:numId w:val="4"/>
        </w:numPr>
        <w:spacing w:before="0" w:after="0"/>
        <w:contextualSpacing/>
      </w:pPr>
      <w:bookmarkStart w:name="_Toc534207116" w:id="3"/>
      <w:r>
        <w:t>Scope</w:t>
      </w:r>
      <w:bookmarkEnd w:id="3"/>
      <w:r>
        <w:t xml:space="preserve"> </w:t>
      </w:r>
    </w:p>
    <w:p w:rsidRPr="00EC7CF6" w:rsidR="00EC7CF6" w:rsidP="00EC7CF6" w:rsidRDefault="00EC7CF6" w14:paraId="6BB9E253" w14:textId="77777777"/>
    <w:p w:rsidR="003B6251" w:rsidP="003B6251" w:rsidRDefault="003B6251" w14:paraId="4A58F682" w14:textId="5E53175E">
      <w:pPr>
        <w:rPr>
          <w:rFonts w:ascii="Arial" w:hAnsi="Arial" w:cs="Arial"/>
        </w:rPr>
      </w:pPr>
      <w:r w:rsidRPr="008A0989">
        <w:rPr>
          <w:rFonts w:ascii="Arial" w:hAnsi="Arial" w:cs="Arial"/>
        </w:rPr>
        <w:t xml:space="preserve">The policy must be followed by all </w:t>
      </w:r>
      <w:r w:rsidRPr="00756DD2" w:rsidR="00756DD2">
        <w:rPr>
          <w:rFonts w:ascii="Arial" w:hAnsi="Arial" w:cs="Arial"/>
        </w:rPr>
        <w:t>St George’s</w:t>
      </w:r>
      <w:r w:rsidRPr="008A0989" w:rsidR="00756DD2">
        <w:rPr>
          <w:rFonts w:ascii="Arial" w:hAnsi="Arial" w:cs="Arial"/>
        </w:rPr>
        <w:t xml:space="preserve"> </w:t>
      </w:r>
      <w:r w:rsidRPr="008A0989">
        <w:rPr>
          <w:rFonts w:ascii="Arial" w:hAnsi="Arial" w:cs="Arial"/>
        </w:rPr>
        <w:t xml:space="preserve">employees and contractors who create and handle records as part of their </w:t>
      </w:r>
      <w:r w:rsidRPr="008A0989" w:rsidR="001A4E96">
        <w:rPr>
          <w:rFonts w:ascii="Arial" w:hAnsi="Arial" w:cs="Arial"/>
        </w:rPr>
        <w:t>day-to-day</w:t>
      </w:r>
      <w:r w:rsidRPr="008A0989">
        <w:rPr>
          <w:rFonts w:ascii="Arial" w:hAnsi="Arial" w:cs="Arial"/>
        </w:rPr>
        <w:t xml:space="preserve"> activities at the University.   </w:t>
      </w:r>
    </w:p>
    <w:p w:rsidR="00B72CEC" w:rsidP="003B6251" w:rsidRDefault="00B72CEC" w14:paraId="78417C8B" w14:textId="02F6EEBE">
      <w:pPr>
        <w:rPr>
          <w:rFonts w:ascii="Arial" w:hAnsi="Arial" w:cs="Arial"/>
        </w:rPr>
      </w:pPr>
    </w:p>
    <w:p w:rsidR="00B72CEC" w:rsidP="003B6251" w:rsidRDefault="6D641D9E" w14:paraId="5631B41B" w14:textId="3928280B">
      <w:pPr>
        <w:rPr>
          <w:rFonts w:ascii="Arial" w:hAnsi="Arial" w:cs="Arial"/>
        </w:rPr>
      </w:pPr>
      <w:r w:rsidRPr="6D641D9E">
        <w:rPr>
          <w:rFonts w:ascii="Arial" w:hAnsi="Arial" w:cs="Arial"/>
        </w:rPr>
        <w:t xml:space="preserve">Researchers can access specialised guidance for information they handle at </w:t>
      </w:r>
      <w:hyperlink r:id="rId9">
        <w:r w:rsidRPr="6D641D9E">
          <w:rPr>
            <w:rStyle w:val="Hyperlink"/>
            <w:rFonts w:ascii="Arial" w:hAnsi="Arial" w:cs="Arial"/>
          </w:rPr>
          <w:t>https://www.</w:t>
        </w:r>
        <w:r w:rsidR="00756DD2">
          <w:rPr>
            <w:rStyle w:val="Hyperlink"/>
            <w:rFonts w:ascii="Arial" w:hAnsi="Arial" w:cs="Arial"/>
          </w:rPr>
          <w:t>St George’s</w:t>
        </w:r>
        <w:r w:rsidRPr="6D641D9E">
          <w:rPr>
            <w:rStyle w:val="Hyperlink"/>
            <w:rFonts w:ascii="Arial" w:hAnsi="Arial" w:cs="Arial"/>
          </w:rPr>
          <w:t>.ac.uk/about/our-professional-services/information-services/library/researchers/research-data-management</w:t>
        </w:r>
      </w:hyperlink>
      <w:r w:rsidRPr="6D641D9E">
        <w:rPr>
          <w:rFonts w:ascii="Arial" w:hAnsi="Arial" w:cs="Arial"/>
        </w:rPr>
        <w:t xml:space="preserve"> the area of the website managed by the Research Data Manager (RD</w:t>
      </w:r>
      <w:r w:rsidR="00CC5D91">
        <w:rPr>
          <w:rFonts w:ascii="Arial" w:hAnsi="Arial" w:cs="Arial"/>
        </w:rPr>
        <w:t>M</w:t>
      </w:r>
      <w:r w:rsidRPr="6D641D9E">
        <w:rPr>
          <w:rFonts w:ascii="Arial" w:hAnsi="Arial" w:cs="Arial"/>
        </w:rPr>
        <w:t xml:space="preserve">), </w:t>
      </w:r>
      <w:r w:rsidR="000F75F1">
        <w:rPr>
          <w:rFonts w:ascii="Arial" w:hAnsi="Arial" w:cs="Arial"/>
        </w:rPr>
        <w:t xml:space="preserve">or </w:t>
      </w:r>
      <w:r w:rsidRPr="6D641D9E">
        <w:rPr>
          <w:rFonts w:ascii="Arial" w:hAnsi="Arial" w:cs="Arial"/>
        </w:rPr>
        <w:t>from the RD</w:t>
      </w:r>
      <w:r w:rsidR="000F75F1">
        <w:rPr>
          <w:rFonts w:ascii="Arial" w:hAnsi="Arial" w:cs="Arial"/>
        </w:rPr>
        <w:t>M themself</w:t>
      </w:r>
      <w:r w:rsidRPr="6D641D9E">
        <w:rPr>
          <w:rFonts w:ascii="Arial" w:hAnsi="Arial" w:cs="Arial"/>
        </w:rPr>
        <w:t xml:space="preserve">.  </w:t>
      </w:r>
    </w:p>
    <w:p w:rsidR="0069681F" w:rsidP="0069681F" w:rsidRDefault="0069681F" w14:paraId="23DE523C" w14:textId="77777777">
      <w:pPr>
        <w:rPr>
          <w:rFonts w:ascii="Arial" w:hAnsi="Arial" w:cs="Arial"/>
        </w:rPr>
      </w:pPr>
    </w:p>
    <w:p w:rsidR="002659E3" w:rsidP="00EC7CF6" w:rsidRDefault="004E2C3F" w14:paraId="41EA980E" w14:textId="77777777">
      <w:pPr>
        <w:pStyle w:val="Heading1"/>
        <w:keepNext w:val="0"/>
        <w:numPr>
          <w:ilvl w:val="0"/>
          <w:numId w:val="4"/>
        </w:numPr>
        <w:spacing w:before="0" w:after="0"/>
        <w:contextualSpacing/>
      </w:pPr>
      <w:bookmarkStart w:name="_Toc534207117" w:id="4"/>
      <w:r>
        <w:t>Policy</w:t>
      </w:r>
      <w:bookmarkEnd w:id="4"/>
      <w:r>
        <w:t xml:space="preserve"> </w:t>
      </w:r>
    </w:p>
    <w:p w:rsidR="002659E3" w:rsidP="002659E3" w:rsidRDefault="002659E3" w14:paraId="52E56223" w14:textId="77777777">
      <w:pPr>
        <w:pStyle w:val="Heading1"/>
        <w:keepNext w:val="0"/>
        <w:spacing w:before="0" w:after="0"/>
        <w:contextualSpacing/>
      </w:pPr>
    </w:p>
    <w:p w:rsidR="002D130A" w:rsidP="0060007F" w:rsidRDefault="00972855" w14:paraId="4F8ED030" w14:textId="77777777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D130A" w:rsidR="002659E3">
        <w:rPr>
          <w:sz w:val="24"/>
          <w:szCs w:val="24"/>
        </w:rPr>
        <w:t xml:space="preserve">The classification scheme applies to all information assets regardless of format.  </w:t>
      </w:r>
      <w:r w:rsidR="00273B27">
        <w:rPr>
          <w:sz w:val="24"/>
          <w:szCs w:val="24"/>
        </w:rPr>
        <w:t>F</w:t>
      </w:r>
      <w:r w:rsidRPr="002D130A" w:rsidR="002659E3">
        <w:rPr>
          <w:sz w:val="24"/>
          <w:szCs w:val="24"/>
        </w:rPr>
        <w:t xml:space="preserve">urther guidance </w:t>
      </w:r>
      <w:r w:rsidR="00273B27">
        <w:rPr>
          <w:sz w:val="24"/>
          <w:szCs w:val="24"/>
        </w:rPr>
        <w:t xml:space="preserve">on the classifications below is available </w:t>
      </w:r>
      <w:r w:rsidRPr="002D130A" w:rsidR="002659E3">
        <w:rPr>
          <w:sz w:val="24"/>
          <w:szCs w:val="24"/>
        </w:rPr>
        <w:t xml:space="preserve">at the end of this document.  </w:t>
      </w:r>
    </w:p>
    <w:p w:rsidR="00972855" w:rsidP="006E7FBC" w:rsidRDefault="00835CC7" w14:paraId="5F8037EF" w14:textId="0323A3CB">
      <w:pPr>
        <w:pStyle w:val="ListParagraph"/>
        <w:numPr>
          <w:ilvl w:val="2"/>
          <w:numId w:val="17"/>
        </w:numPr>
        <w:ind w:left="720" w:firstLine="720"/>
        <w:rPr>
          <w:sz w:val="24"/>
          <w:szCs w:val="24"/>
        </w:rPr>
      </w:pPr>
      <w:r w:rsidRPr="28CC957A">
        <w:rPr>
          <w:sz w:val="24"/>
          <w:szCs w:val="24"/>
        </w:rPr>
        <w:lastRenderedPageBreak/>
        <w:t xml:space="preserve">Public.  </w:t>
      </w:r>
      <w:r w:rsidRPr="28CC957A" w:rsidR="002D130A">
        <w:rPr>
          <w:sz w:val="24"/>
          <w:szCs w:val="24"/>
        </w:rPr>
        <w:t>I</w:t>
      </w:r>
      <w:r w:rsidRPr="28CC957A">
        <w:rPr>
          <w:sz w:val="24"/>
          <w:szCs w:val="24"/>
        </w:rPr>
        <w:t xml:space="preserve">nformation that carries no risk to SGUL if distributed externally.  These </w:t>
      </w:r>
      <w:r w:rsidRPr="28CC957A" w:rsidR="001F76E1">
        <w:rPr>
          <w:sz w:val="24"/>
          <w:szCs w:val="24"/>
        </w:rPr>
        <w:t xml:space="preserve">information assets </w:t>
      </w:r>
      <w:r w:rsidRPr="28CC957A" w:rsidR="001A4E96">
        <w:rPr>
          <w:sz w:val="24"/>
          <w:szCs w:val="24"/>
        </w:rPr>
        <w:t>require</w:t>
      </w:r>
      <w:r w:rsidRPr="28CC957A" w:rsidR="001F76E1">
        <w:rPr>
          <w:sz w:val="24"/>
          <w:szCs w:val="24"/>
        </w:rPr>
        <w:t xml:space="preserve"> no specific security.  There is no risk to </w:t>
      </w:r>
      <w:r w:rsidRPr="00756DD2" w:rsidR="00756DD2">
        <w:rPr>
          <w:sz w:val="24"/>
          <w:szCs w:val="24"/>
        </w:rPr>
        <w:t>St George’s</w:t>
      </w:r>
      <w:r w:rsidRPr="28CC957A" w:rsidR="00756DD2">
        <w:rPr>
          <w:sz w:val="24"/>
          <w:szCs w:val="24"/>
        </w:rPr>
        <w:t xml:space="preserve"> </w:t>
      </w:r>
      <w:r w:rsidRPr="28CC957A" w:rsidR="001F76E1">
        <w:rPr>
          <w:sz w:val="24"/>
          <w:szCs w:val="24"/>
        </w:rPr>
        <w:t xml:space="preserve">if these documents are distributed externally. </w:t>
      </w:r>
      <w:r w:rsidRPr="28CC957A" w:rsidR="00085C20">
        <w:rPr>
          <w:sz w:val="24"/>
          <w:szCs w:val="24"/>
        </w:rPr>
        <w:t xml:space="preserve"> The classification ‘public’ should be used for </w:t>
      </w:r>
      <w:r w:rsidRPr="28CC957A" w:rsidR="00FF3C03">
        <w:rPr>
          <w:sz w:val="24"/>
          <w:szCs w:val="24"/>
        </w:rPr>
        <w:t xml:space="preserve">information intended to go into the public domain.  </w:t>
      </w:r>
      <w:r w:rsidRPr="28CC957A" w:rsidR="001F76E1">
        <w:rPr>
          <w:sz w:val="24"/>
          <w:szCs w:val="24"/>
        </w:rPr>
        <w:t xml:space="preserve"> </w:t>
      </w:r>
    </w:p>
    <w:p w:rsidR="00972855" w:rsidP="12C12617" w:rsidRDefault="00FF3C03" w14:paraId="23AEFA7C" w14:textId="260042A6">
      <w:pPr>
        <w:pStyle w:val="ListParagraph"/>
        <w:numPr>
          <w:ilvl w:val="2"/>
          <w:numId w:val="17"/>
        </w:numPr>
        <w:ind w:left="720" w:firstLine="720"/>
        <w:rPr>
          <w:sz w:val="24"/>
          <w:szCs w:val="24"/>
        </w:rPr>
      </w:pPr>
      <w:r w:rsidRPr="28CC957A">
        <w:rPr>
          <w:sz w:val="24"/>
          <w:szCs w:val="24"/>
        </w:rPr>
        <w:t>Internal</w:t>
      </w:r>
      <w:r w:rsidRPr="28CC957A" w:rsidR="12C12617">
        <w:rPr>
          <w:sz w:val="24"/>
          <w:szCs w:val="24"/>
        </w:rPr>
        <w:t xml:space="preserve">. Only accessible to </w:t>
      </w:r>
      <w:r w:rsidR="00B63B9C">
        <w:rPr>
          <w:sz w:val="24"/>
          <w:szCs w:val="24"/>
        </w:rPr>
        <w:t xml:space="preserve">authorised </w:t>
      </w:r>
      <w:r w:rsidRPr="28CC957A" w:rsidR="00B63B9C">
        <w:rPr>
          <w:sz w:val="24"/>
          <w:szCs w:val="24"/>
        </w:rPr>
        <w:t>members</w:t>
      </w:r>
      <w:r w:rsidRPr="28CC957A" w:rsidR="12C12617">
        <w:rPr>
          <w:sz w:val="24"/>
          <w:szCs w:val="24"/>
        </w:rPr>
        <w:t xml:space="preserve"> of staff and if accidentally disclosed could have a negative impact</w:t>
      </w:r>
      <w:r w:rsidRPr="28CC957A" w:rsidR="00884FE6">
        <w:rPr>
          <w:sz w:val="24"/>
          <w:szCs w:val="24"/>
        </w:rPr>
        <w:t xml:space="preserve">, causing </w:t>
      </w:r>
      <w:r w:rsidRPr="28CC957A" w:rsidR="008F70AB">
        <w:rPr>
          <w:sz w:val="24"/>
          <w:szCs w:val="24"/>
        </w:rPr>
        <w:t xml:space="preserve">some damage to the reputation of </w:t>
      </w:r>
      <w:r w:rsidRPr="00756DD2" w:rsidR="009D49FB">
        <w:rPr>
          <w:sz w:val="24"/>
          <w:szCs w:val="24"/>
        </w:rPr>
        <w:t>St George’s</w:t>
      </w:r>
      <w:r w:rsidRPr="28CC957A" w:rsidR="009D49FB">
        <w:rPr>
          <w:sz w:val="24"/>
          <w:szCs w:val="24"/>
        </w:rPr>
        <w:t xml:space="preserve"> </w:t>
      </w:r>
      <w:r w:rsidRPr="28CC957A" w:rsidR="008F70AB">
        <w:rPr>
          <w:sz w:val="24"/>
          <w:szCs w:val="24"/>
        </w:rPr>
        <w:t>or distress to the data subjects</w:t>
      </w:r>
      <w:r w:rsidRPr="28CC957A" w:rsidR="12C12617">
        <w:rPr>
          <w:sz w:val="24"/>
          <w:szCs w:val="24"/>
        </w:rPr>
        <w:t xml:space="preserve">.  This classification will likely cover the majority of </w:t>
      </w:r>
      <w:r w:rsidRPr="00756DD2" w:rsidR="009D49FB">
        <w:rPr>
          <w:sz w:val="24"/>
          <w:szCs w:val="24"/>
        </w:rPr>
        <w:t>St George’s</w:t>
      </w:r>
      <w:r w:rsidRPr="28CC957A" w:rsidR="009D49FB">
        <w:rPr>
          <w:sz w:val="24"/>
          <w:szCs w:val="24"/>
        </w:rPr>
        <w:t xml:space="preserve"> </w:t>
      </w:r>
      <w:r w:rsidRPr="28CC957A" w:rsidR="12C12617">
        <w:rPr>
          <w:sz w:val="24"/>
          <w:szCs w:val="24"/>
        </w:rPr>
        <w:t xml:space="preserve">information. </w:t>
      </w:r>
    </w:p>
    <w:p w:rsidR="009509CC" w:rsidP="77AE11BA" w:rsidRDefault="008F70AB" w14:paraId="5EA29E22" w14:textId="2ECC9CED">
      <w:pPr>
        <w:pStyle w:val="ListParagraph"/>
        <w:numPr>
          <w:ilvl w:val="2"/>
          <w:numId w:val="17"/>
        </w:numPr>
        <w:ind w:left="720" w:firstLine="720"/>
        <w:rPr>
          <w:sz w:val="24"/>
          <w:szCs w:val="24"/>
        </w:rPr>
      </w:pPr>
      <w:r>
        <w:rPr>
          <w:sz w:val="24"/>
          <w:szCs w:val="24"/>
        </w:rPr>
        <w:t>Confidential</w:t>
      </w:r>
      <w:r w:rsidRPr="77AE11BA" w:rsidR="77AE11BA">
        <w:rPr>
          <w:sz w:val="24"/>
          <w:szCs w:val="24"/>
        </w:rPr>
        <w:t xml:space="preserve">.  Only accessible to relevant members of staff and if disclosed </w:t>
      </w:r>
      <w:r w:rsidR="000C486B">
        <w:rPr>
          <w:sz w:val="24"/>
          <w:szCs w:val="24"/>
        </w:rPr>
        <w:t xml:space="preserve">without authorisation </w:t>
      </w:r>
      <w:r w:rsidRPr="77AE11BA" w:rsidR="77AE11BA">
        <w:rPr>
          <w:sz w:val="24"/>
          <w:szCs w:val="24"/>
        </w:rPr>
        <w:t xml:space="preserve">will have a negative impact on the </w:t>
      </w:r>
      <w:r w:rsidR="000C486B">
        <w:rPr>
          <w:sz w:val="24"/>
          <w:szCs w:val="24"/>
        </w:rPr>
        <w:t xml:space="preserve">employees, reputation, or interests of </w:t>
      </w:r>
      <w:r w:rsidRPr="00756DD2" w:rsidR="009D49FB">
        <w:rPr>
          <w:sz w:val="24"/>
          <w:szCs w:val="24"/>
        </w:rPr>
        <w:t>St George’s</w:t>
      </w:r>
      <w:r w:rsidRPr="77AE11BA" w:rsidR="77AE11BA">
        <w:rPr>
          <w:sz w:val="24"/>
          <w:szCs w:val="24"/>
        </w:rPr>
        <w:t>.  Information assets with this classification have a clear sensitivity due to business or legal value.</w:t>
      </w:r>
    </w:p>
    <w:p w:rsidRPr="00972855" w:rsidR="00972855" w:rsidP="00972855" w:rsidRDefault="00972855" w14:paraId="07547A01" w14:textId="77777777"/>
    <w:p w:rsidRPr="00972855" w:rsidR="00972855" w:rsidP="0007332A" w:rsidRDefault="77AE11BA" w14:paraId="6A86D108" w14:textId="3F712D98">
      <w:pPr>
        <w:pStyle w:val="ListParagraph"/>
        <w:numPr>
          <w:ilvl w:val="0"/>
          <w:numId w:val="17"/>
        </w:numPr>
      </w:pPr>
      <w:r w:rsidRPr="77AE11BA">
        <w:rPr>
          <w:sz w:val="24"/>
          <w:szCs w:val="24"/>
        </w:rPr>
        <w:t xml:space="preserve">  When choosing a classification be sure not to apply a higher classification than required as this can inhibit distribution; alternatively, if you chose a classification that is too low our information could be at risk.  </w:t>
      </w:r>
      <w:r w:rsidR="003903BD">
        <w:rPr>
          <w:sz w:val="24"/>
          <w:szCs w:val="24"/>
        </w:rPr>
        <w:br/>
      </w:r>
    </w:p>
    <w:p w:rsidR="00835CC7" w:rsidP="0007332A" w:rsidRDefault="00972855" w14:paraId="59329A67" w14:textId="09A90789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72855" w:rsidR="00EB39CA">
        <w:rPr>
          <w:sz w:val="24"/>
          <w:szCs w:val="24"/>
        </w:rPr>
        <w:t xml:space="preserve">If you have a record set or </w:t>
      </w:r>
      <w:r w:rsidRPr="00972855" w:rsidR="00B22DC4">
        <w:rPr>
          <w:sz w:val="24"/>
          <w:szCs w:val="24"/>
        </w:rPr>
        <w:t xml:space="preserve">records </w:t>
      </w:r>
      <w:r w:rsidR="00604FD9">
        <w:rPr>
          <w:sz w:val="24"/>
          <w:szCs w:val="24"/>
        </w:rPr>
        <w:t>series</w:t>
      </w:r>
      <w:r w:rsidRPr="00972855" w:rsidR="00B22DC4">
        <w:rPr>
          <w:sz w:val="24"/>
          <w:szCs w:val="24"/>
        </w:rPr>
        <w:t xml:space="preserve"> chose the higher classification of the information held within </w:t>
      </w:r>
      <w:r w:rsidRPr="00972855" w:rsidR="001A4E96">
        <w:rPr>
          <w:sz w:val="24"/>
          <w:szCs w:val="24"/>
        </w:rPr>
        <w:t>i.e.,</w:t>
      </w:r>
      <w:r w:rsidRPr="00972855" w:rsidR="00B22DC4">
        <w:rPr>
          <w:sz w:val="24"/>
          <w:szCs w:val="24"/>
        </w:rPr>
        <w:t xml:space="preserve"> if you have a record set containing a mix of public and restricted distribution the set will be covered by restricted distribution.  </w:t>
      </w:r>
      <w:r w:rsidR="003903BD">
        <w:rPr>
          <w:sz w:val="24"/>
          <w:szCs w:val="24"/>
        </w:rPr>
        <w:br/>
      </w:r>
    </w:p>
    <w:p w:rsidR="000B3BCB" w:rsidP="6E048C7A" w:rsidRDefault="6D641D9E" w14:paraId="5DD327C4" w14:textId="3FE367D1">
      <w:pPr>
        <w:pStyle w:val="ListParagraph"/>
        <w:numPr>
          <w:ilvl w:val="0"/>
          <w:numId w:val="17"/>
        </w:numPr>
        <w:spacing w:after="160" w:line="259" w:lineRule="auto"/>
      </w:pPr>
      <w:r w:rsidRPr="2E8094E6">
        <w:rPr>
          <w:sz w:val="24"/>
          <w:szCs w:val="24"/>
        </w:rPr>
        <w:t xml:space="preserve">  It is the responsibility of the Information Asset Owner to ensure that a classification is applied to their records and is visible. </w:t>
      </w:r>
    </w:p>
    <w:tbl>
      <w:tblPr>
        <w:tblStyle w:val="TableGrid"/>
        <w:tblW w:w="8303" w:type="dxa"/>
        <w:tblLook w:val="04A0" w:firstRow="1" w:lastRow="0" w:firstColumn="1" w:lastColumn="0" w:noHBand="0" w:noVBand="1"/>
      </w:tblPr>
      <w:tblGrid>
        <w:gridCol w:w="1845"/>
        <w:gridCol w:w="3737"/>
        <w:gridCol w:w="2721"/>
      </w:tblGrid>
      <w:tr w:rsidR="000B3BCB" w:rsidTr="28CC957A" w14:paraId="239FFF94" w14:textId="77777777">
        <w:tc>
          <w:tcPr>
            <w:tcW w:w="1845" w:type="dxa"/>
            <w:vAlign w:val="center"/>
          </w:tcPr>
          <w:p w:rsidRPr="00C620BD" w:rsidR="000B3BCB" w:rsidP="6D641D9E" w:rsidRDefault="6D641D9E" w14:paraId="682FDFB4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2E836E32">
              <w:rPr>
                <w:rFonts w:ascii="Arial" w:hAnsi="Arial" w:cs="Arial"/>
                <w:b/>
                <w:bCs/>
              </w:rPr>
              <w:t>Classification</w:t>
            </w:r>
          </w:p>
        </w:tc>
        <w:tc>
          <w:tcPr>
            <w:tcW w:w="3737" w:type="dxa"/>
            <w:vAlign w:val="center"/>
          </w:tcPr>
          <w:p w:rsidRPr="00C620BD" w:rsidR="000B3BCB" w:rsidP="000B3BCB" w:rsidRDefault="000B3BCB" w14:paraId="6A712C68" w14:textId="77777777">
            <w:pPr>
              <w:jc w:val="center"/>
              <w:rPr>
                <w:rFonts w:ascii="Arial" w:hAnsi="Arial" w:cs="Arial"/>
                <w:b/>
              </w:rPr>
            </w:pPr>
            <w:r w:rsidRPr="00C620BD">
              <w:rPr>
                <w:rFonts w:ascii="Arial" w:hAnsi="Arial" w:cs="Arial"/>
                <w:b/>
              </w:rPr>
              <w:t xml:space="preserve">Description </w:t>
            </w:r>
          </w:p>
        </w:tc>
        <w:tc>
          <w:tcPr>
            <w:tcW w:w="2721" w:type="dxa"/>
            <w:vAlign w:val="center"/>
          </w:tcPr>
          <w:p w:rsidRPr="00C620BD" w:rsidR="000B3BCB" w:rsidP="000B3BCB" w:rsidRDefault="000B3BCB" w14:paraId="02F6F337" w14:textId="77777777">
            <w:pPr>
              <w:jc w:val="center"/>
              <w:rPr>
                <w:rFonts w:ascii="Arial" w:hAnsi="Arial" w:cs="Arial"/>
                <w:b/>
              </w:rPr>
            </w:pPr>
            <w:r w:rsidRPr="00C620BD">
              <w:rPr>
                <w:rFonts w:ascii="Arial" w:hAnsi="Arial" w:cs="Arial"/>
                <w:b/>
              </w:rPr>
              <w:t>Examples</w:t>
            </w:r>
          </w:p>
        </w:tc>
      </w:tr>
      <w:tr w:rsidR="000B3BCB" w:rsidTr="28CC957A" w14:paraId="13371498" w14:textId="77777777">
        <w:tc>
          <w:tcPr>
            <w:tcW w:w="1845" w:type="dxa"/>
          </w:tcPr>
          <w:p w:rsidRPr="00C620BD" w:rsidR="000B3BCB" w:rsidP="000B3BCB" w:rsidRDefault="000B3BCB" w14:paraId="12E836B6" w14:textId="77777777">
            <w:pPr>
              <w:jc w:val="center"/>
              <w:rPr>
                <w:rFonts w:ascii="Arial" w:hAnsi="Arial" w:cs="Arial"/>
                <w:b/>
              </w:rPr>
            </w:pPr>
            <w:r w:rsidRPr="00C620BD">
              <w:rPr>
                <w:rFonts w:ascii="Arial" w:hAnsi="Arial" w:cs="Arial"/>
                <w:b/>
              </w:rPr>
              <w:t>Public</w:t>
            </w:r>
          </w:p>
          <w:p w:rsidRPr="00C620BD" w:rsidR="000B3BCB" w:rsidP="000B3BCB" w:rsidRDefault="000B3BCB" w14:paraId="5043CB0F" w14:textId="7777777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3737" w:type="dxa"/>
          </w:tcPr>
          <w:p w:rsidRPr="00C620BD" w:rsidR="000B3BCB" w:rsidP="77AE11BA" w:rsidRDefault="77AE11BA" w14:paraId="3FF3D62E" w14:textId="4B230107">
            <w:pPr>
              <w:rPr>
                <w:rFonts w:ascii="Arial" w:hAnsi="Arial" w:cs="Arial"/>
              </w:rPr>
            </w:pPr>
            <w:r w:rsidRPr="77AE11BA">
              <w:rPr>
                <w:rFonts w:ascii="Arial" w:hAnsi="Arial" w:cs="Arial"/>
              </w:rPr>
              <w:t xml:space="preserve">Documents and publications intended for an audience broader than </w:t>
            </w:r>
            <w:r w:rsidRPr="00756DD2" w:rsidR="009D49FB">
              <w:rPr>
                <w:rFonts w:ascii="Arial" w:hAnsi="Arial" w:cs="Arial"/>
              </w:rPr>
              <w:t>St George’s</w:t>
            </w:r>
            <w:r w:rsidRPr="77AE11BA" w:rsidR="009D49FB">
              <w:rPr>
                <w:rFonts w:ascii="Arial" w:hAnsi="Arial" w:cs="Arial"/>
              </w:rPr>
              <w:t xml:space="preserve"> </w:t>
            </w:r>
            <w:r w:rsidRPr="77AE11BA">
              <w:rPr>
                <w:rFonts w:ascii="Arial" w:hAnsi="Arial" w:cs="Arial"/>
              </w:rPr>
              <w:t xml:space="preserve">staff.  </w:t>
            </w:r>
          </w:p>
          <w:p w:rsidRPr="00C620BD" w:rsidR="000B3BCB" w:rsidP="77AE11BA" w:rsidRDefault="000B3BCB" w14:paraId="768B4816" w14:textId="1FCBC8ED">
            <w:pPr>
              <w:rPr>
                <w:rFonts w:ascii="Arial" w:hAnsi="Arial" w:cs="Arial"/>
              </w:rPr>
            </w:pPr>
          </w:p>
          <w:p w:rsidRPr="00C620BD" w:rsidR="000B3BCB" w:rsidP="77AE11BA" w:rsidRDefault="77AE11BA" w14:paraId="505BBAF3" w14:textId="7CD4CB5C">
            <w:pPr>
              <w:rPr>
                <w:rFonts w:ascii="Arial" w:hAnsi="Arial" w:cs="Arial"/>
              </w:rPr>
            </w:pPr>
            <w:r w:rsidRPr="77AE11BA">
              <w:rPr>
                <w:rFonts w:ascii="Arial" w:hAnsi="Arial" w:cs="Arial"/>
              </w:rPr>
              <w:t xml:space="preserve">There is no risk to </w:t>
            </w:r>
            <w:r w:rsidRPr="00756DD2" w:rsidR="009D49FB">
              <w:rPr>
                <w:rFonts w:ascii="Arial" w:hAnsi="Arial" w:cs="Arial"/>
              </w:rPr>
              <w:t>St George’s</w:t>
            </w:r>
            <w:r w:rsidRPr="77AE11BA" w:rsidR="009D49FB">
              <w:rPr>
                <w:rFonts w:ascii="Arial" w:hAnsi="Arial" w:cs="Arial"/>
              </w:rPr>
              <w:t xml:space="preserve"> </w:t>
            </w:r>
            <w:r w:rsidRPr="77AE11BA">
              <w:rPr>
                <w:rFonts w:ascii="Arial" w:hAnsi="Arial" w:cs="Arial"/>
              </w:rPr>
              <w:t xml:space="preserve">if these documents are distributed external to the University.  </w:t>
            </w:r>
          </w:p>
          <w:p w:rsidR="0036418B" w:rsidP="77AE11BA" w:rsidRDefault="0036418B" w14:paraId="677D1CC5" w14:textId="77777777">
            <w:pPr>
              <w:spacing w:after="160" w:line="259" w:lineRule="auto"/>
              <w:rPr>
                <w:rFonts w:ascii="Arial" w:hAnsi="Arial" w:cs="Arial"/>
              </w:rPr>
            </w:pPr>
          </w:p>
          <w:p w:rsidR="0036418B" w:rsidP="77AE11BA" w:rsidRDefault="0036418B" w14:paraId="796D4FE9" w14:textId="3B2E375E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some cases, contents of the records may need to be redacted </w:t>
            </w:r>
            <w:r w:rsidR="001A4E96">
              <w:rPr>
                <w:rFonts w:ascii="Arial" w:hAnsi="Arial" w:cs="Arial"/>
              </w:rPr>
              <w:t>i.e.,</w:t>
            </w:r>
            <w:r>
              <w:rPr>
                <w:rFonts w:ascii="Arial" w:hAnsi="Arial" w:cs="Arial"/>
              </w:rPr>
              <w:t xml:space="preserve"> if they are to be released as part of a subject access request or Freedom of Information request.  </w:t>
            </w:r>
          </w:p>
          <w:p w:rsidRPr="00C620BD" w:rsidR="000B3BCB" w:rsidP="77AE11BA" w:rsidRDefault="77AE11BA" w14:paraId="31F33963" w14:textId="719F8F88">
            <w:pPr>
              <w:spacing w:after="160" w:line="259" w:lineRule="auto"/>
              <w:rPr>
                <w:rFonts w:ascii="Arial" w:hAnsi="Arial" w:cs="Arial"/>
              </w:rPr>
            </w:pPr>
            <w:r w:rsidRPr="77AE11BA">
              <w:rPr>
                <w:rFonts w:ascii="Arial" w:hAnsi="Arial" w:cs="Arial"/>
              </w:rPr>
              <w:t xml:space="preserve">No special security measures need to be applied to these documents.  </w:t>
            </w:r>
          </w:p>
          <w:p w:rsidRPr="00C620BD" w:rsidR="000B3BCB" w:rsidP="77AE11BA" w:rsidRDefault="77AE11BA" w14:paraId="76FEA679" w14:textId="6D27B8D7">
            <w:pPr>
              <w:spacing w:after="160" w:line="259" w:lineRule="auto"/>
              <w:rPr>
                <w:rFonts w:ascii="Arial" w:hAnsi="Arial" w:cs="Arial"/>
              </w:rPr>
            </w:pPr>
            <w:r w:rsidRPr="77AE11BA">
              <w:rPr>
                <w:rFonts w:ascii="Arial" w:hAnsi="Arial" w:cs="Arial"/>
              </w:rPr>
              <w:lastRenderedPageBreak/>
              <w:t>This information is often available via the SGUL website</w:t>
            </w:r>
          </w:p>
        </w:tc>
        <w:tc>
          <w:tcPr>
            <w:tcW w:w="2721" w:type="dxa"/>
          </w:tcPr>
          <w:p w:rsidRPr="00C620BD" w:rsidR="000B3BCB" w:rsidP="77AE11BA" w:rsidRDefault="77AE11BA" w14:paraId="445AFF78" w14:textId="77777777">
            <w:pPr>
              <w:numPr>
                <w:ilvl w:val="0"/>
                <w:numId w:val="12"/>
              </w:numPr>
              <w:tabs>
                <w:tab w:val="num" w:pos="268"/>
              </w:tabs>
              <w:ind w:left="268" w:hanging="180"/>
              <w:rPr>
                <w:rFonts w:ascii="Arial" w:hAnsi="Arial" w:cs="Arial"/>
              </w:rPr>
            </w:pPr>
            <w:r w:rsidRPr="77AE11BA">
              <w:rPr>
                <w:rFonts w:ascii="Arial" w:hAnsi="Arial" w:cs="Arial"/>
              </w:rPr>
              <w:lastRenderedPageBreak/>
              <w:t xml:space="preserve">Annual Review </w:t>
            </w:r>
          </w:p>
          <w:p w:rsidRPr="00C620BD" w:rsidR="000B3BCB" w:rsidP="77AE11BA" w:rsidRDefault="77AE11BA" w14:paraId="56019FBE" w14:textId="6E4B961B">
            <w:pPr>
              <w:numPr>
                <w:ilvl w:val="0"/>
                <w:numId w:val="12"/>
              </w:numPr>
              <w:tabs>
                <w:tab w:val="num" w:pos="268"/>
              </w:tabs>
              <w:ind w:left="268" w:hanging="180"/>
            </w:pPr>
            <w:r w:rsidRPr="77AE11BA">
              <w:rPr>
                <w:rFonts w:ascii="Arial" w:hAnsi="Arial" w:cs="Arial"/>
              </w:rPr>
              <w:t xml:space="preserve">Strategic Plan </w:t>
            </w:r>
          </w:p>
          <w:p w:rsidRPr="00C620BD" w:rsidR="000B3BCB" w:rsidP="000B3BCB" w:rsidRDefault="000B3BCB" w14:paraId="13659977" w14:textId="77777777">
            <w:pPr>
              <w:numPr>
                <w:ilvl w:val="0"/>
                <w:numId w:val="12"/>
              </w:numPr>
              <w:tabs>
                <w:tab w:val="num" w:pos="268"/>
              </w:tabs>
              <w:ind w:left="268" w:hanging="180"/>
              <w:rPr>
                <w:rFonts w:ascii="Arial" w:hAnsi="Arial" w:cs="Arial"/>
                <w:i/>
              </w:rPr>
            </w:pPr>
            <w:r w:rsidRPr="00C620BD">
              <w:rPr>
                <w:rFonts w:ascii="Arial" w:hAnsi="Arial" w:cs="Arial"/>
              </w:rPr>
              <w:t>Press Releases</w:t>
            </w:r>
          </w:p>
          <w:p w:rsidRPr="00C620BD" w:rsidR="000B3BCB" w:rsidP="000B3BCB" w:rsidRDefault="000B3BCB" w14:paraId="1D6A065D" w14:textId="77777777">
            <w:pPr>
              <w:numPr>
                <w:ilvl w:val="0"/>
                <w:numId w:val="12"/>
              </w:numPr>
              <w:tabs>
                <w:tab w:val="num" w:pos="268"/>
              </w:tabs>
              <w:ind w:left="268" w:hanging="180"/>
              <w:rPr>
                <w:rFonts w:ascii="Arial" w:hAnsi="Arial" w:cs="Arial"/>
                <w:i/>
              </w:rPr>
            </w:pPr>
            <w:r w:rsidRPr="00C620BD">
              <w:rPr>
                <w:rFonts w:ascii="Arial" w:hAnsi="Arial" w:cs="Arial"/>
              </w:rPr>
              <w:t>Strategy 2017 – 2022</w:t>
            </w:r>
          </w:p>
          <w:p w:rsidRPr="00C620BD" w:rsidR="000B3BCB" w:rsidP="77AE11BA" w:rsidRDefault="77AE11BA" w14:paraId="1076B082" w14:textId="1B94D444">
            <w:pPr>
              <w:numPr>
                <w:ilvl w:val="0"/>
                <w:numId w:val="12"/>
              </w:numPr>
              <w:tabs>
                <w:tab w:val="num" w:pos="268"/>
              </w:tabs>
              <w:ind w:left="268" w:hanging="180"/>
              <w:rPr>
                <w:rFonts w:ascii="Arial" w:hAnsi="Arial" w:cs="Arial"/>
                <w:i/>
                <w:iCs/>
              </w:rPr>
            </w:pPr>
            <w:r w:rsidRPr="77AE11BA">
              <w:rPr>
                <w:rFonts w:ascii="Arial" w:hAnsi="Arial" w:cs="Arial"/>
              </w:rPr>
              <w:t>FOI publication schedule and disclosure log</w:t>
            </w:r>
          </w:p>
          <w:p w:rsidRPr="00C620BD" w:rsidR="000B3BCB" w:rsidP="77AE11BA" w:rsidRDefault="77AE11BA" w14:paraId="7391F718" w14:textId="337BBFDD">
            <w:pPr>
              <w:numPr>
                <w:ilvl w:val="0"/>
                <w:numId w:val="12"/>
              </w:numPr>
              <w:tabs>
                <w:tab w:val="num" w:pos="268"/>
              </w:tabs>
              <w:ind w:left="268" w:hanging="180"/>
              <w:rPr>
                <w:rFonts w:ascii="Arial" w:hAnsi="Arial" w:cs="Arial"/>
                <w:i/>
                <w:iCs/>
              </w:rPr>
            </w:pPr>
            <w:r w:rsidRPr="77AE11BA">
              <w:rPr>
                <w:rFonts w:ascii="Arial" w:hAnsi="Arial" w:cs="Arial"/>
              </w:rPr>
              <w:t>Published results of research</w:t>
            </w:r>
          </w:p>
          <w:p w:rsidRPr="00C620BD" w:rsidR="000B3BCB" w:rsidP="2A2111C4" w:rsidRDefault="77AE11BA" w14:paraId="36B9B397" w14:textId="23E31FD1">
            <w:pPr>
              <w:numPr>
                <w:ilvl w:val="0"/>
                <w:numId w:val="12"/>
              </w:numPr>
              <w:tabs>
                <w:tab w:val="num" w:pos="268"/>
              </w:tabs>
              <w:ind w:left="268" w:hanging="180"/>
              <w:rPr>
                <w:i/>
                <w:iCs/>
              </w:rPr>
            </w:pPr>
            <w:r w:rsidRPr="2A2111C4">
              <w:rPr>
                <w:rFonts w:ascii="Arial" w:hAnsi="Arial" w:cs="Arial"/>
              </w:rPr>
              <w:t>Minutes of committee meetings</w:t>
            </w:r>
            <w:r w:rsidR="007B0890">
              <w:rPr>
                <w:rFonts w:ascii="Arial" w:hAnsi="Arial" w:cs="Arial"/>
              </w:rPr>
              <w:t>.  Minutes should be redacted where appropriate.</w:t>
            </w:r>
            <w:r w:rsidRPr="2A2111C4">
              <w:rPr>
                <w:rFonts w:ascii="Arial" w:hAnsi="Arial" w:cs="Arial"/>
              </w:rPr>
              <w:t xml:space="preserve"> </w:t>
            </w:r>
          </w:p>
        </w:tc>
      </w:tr>
      <w:tr w:rsidR="000B3BCB" w:rsidTr="28CC957A" w14:paraId="5F61569D" w14:textId="77777777">
        <w:tc>
          <w:tcPr>
            <w:tcW w:w="1845" w:type="dxa"/>
          </w:tcPr>
          <w:p w:rsidRPr="00C620BD" w:rsidR="000B3BCB" w:rsidP="000B3BCB" w:rsidRDefault="00DA6EFF" w14:paraId="3518BB34" w14:textId="3F1223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Internal</w:t>
            </w:r>
          </w:p>
        </w:tc>
        <w:tc>
          <w:tcPr>
            <w:tcW w:w="3737" w:type="dxa"/>
          </w:tcPr>
          <w:p w:rsidRPr="00C620BD" w:rsidR="000B3BCB" w:rsidP="000B3BCB" w:rsidRDefault="000B3BCB" w14:paraId="604AF4AB" w14:textId="77777777">
            <w:pPr>
              <w:spacing w:after="160" w:line="259" w:lineRule="auto"/>
              <w:rPr>
                <w:rFonts w:ascii="Arial" w:hAnsi="Arial" w:cs="Arial"/>
              </w:rPr>
            </w:pPr>
            <w:r w:rsidRPr="00C620BD">
              <w:rPr>
                <w:rFonts w:ascii="Arial" w:hAnsi="Arial" w:cs="Arial"/>
              </w:rPr>
              <w:t>Recipients of disclosed information must respect that it is given to them in confidence.</w:t>
            </w:r>
          </w:p>
          <w:p w:rsidRPr="00C620BD" w:rsidR="00582515" w:rsidP="000B3BCB" w:rsidRDefault="00582515" w14:paraId="5DE3D5B8" w14:textId="77777777">
            <w:pPr>
              <w:spacing w:after="160" w:line="259" w:lineRule="auto"/>
              <w:rPr>
                <w:rFonts w:ascii="Arial" w:hAnsi="Arial" w:cs="Arial"/>
              </w:rPr>
            </w:pPr>
            <w:r w:rsidRPr="00C620BD">
              <w:rPr>
                <w:rFonts w:ascii="Arial" w:hAnsi="Arial" w:cs="Arial"/>
              </w:rPr>
              <w:t>Includes the following categories of personal data: address, age, telephone number</w:t>
            </w:r>
          </w:p>
        </w:tc>
        <w:tc>
          <w:tcPr>
            <w:tcW w:w="2721" w:type="dxa"/>
          </w:tcPr>
          <w:p w:rsidR="77AE11BA" w:rsidP="77AE11BA" w:rsidRDefault="00332BED" w14:paraId="69F4AD0F" w14:textId="62FB6BA9">
            <w:pPr>
              <w:numPr>
                <w:ilvl w:val="0"/>
                <w:numId w:val="12"/>
              </w:numPr>
              <w:ind w:left="268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All </w:t>
            </w:r>
            <w:r w:rsidRPr="28CC957A" w:rsidR="77AE11BA">
              <w:rPr>
                <w:rFonts w:ascii="Arial" w:hAnsi="Arial" w:cs="Arial"/>
              </w:rPr>
              <w:t xml:space="preserve">HR </w:t>
            </w:r>
            <w:r w:rsidRPr="28CC957A" w:rsidR="001A4E96">
              <w:rPr>
                <w:rFonts w:ascii="Arial" w:hAnsi="Arial" w:cs="Arial"/>
              </w:rPr>
              <w:t>records.</w:t>
            </w:r>
            <w:r w:rsidRPr="28CC957A" w:rsidR="77AE11BA">
              <w:rPr>
                <w:rFonts w:ascii="Arial" w:hAnsi="Arial" w:cs="Arial"/>
              </w:rPr>
              <w:t xml:space="preserve"> </w:t>
            </w:r>
          </w:p>
          <w:p w:rsidR="77AE11BA" w:rsidP="77AE11BA" w:rsidRDefault="77AE11BA" w14:paraId="12D4CD94" w14:textId="0F981E3B">
            <w:pPr>
              <w:numPr>
                <w:ilvl w:val="0"/>
                <w:numId w:val="12"/>
              </w:numPr>
              <w:ind w:left="268" w:hanging="180"/>
            </w:pPr>
            <w:r w:rsidRPr="77AE11BA">
              <w:rPr>
                <w:rFonts w:ascii="Arial" w:hAnsi="Arial" w:cs="Arial"/>
              </w:rPr>
              <w:t>Student records</w:t>
            </w:r>
          </w:p>
          <w:p w:rsidRPr="00C620BD" w:rsidR="000B3BCB" w:rsidP="000B3BCB" w:rsidRDefault="000B3BCB" w14:paraId="0AA57AAF" w14:textId="77777777">
            <w:pPr>
              <w:numPr>
                <w:ilvl w:val="0"/>
                <w:numId w:val="12"/>
              </w:numPr>
              <w:tabs>
                <w:tab w:val="num" w:pos="268"/>
              </w:tabs>
              <w:ind w:left="268" w:hanging="180"/>
              <w:rPr>
                <w:rFonts w:ascii="Arial" w:hAnsi="Arial" w:cs="Arial"/>
              </w:rPr>
            </w:pPr>
            <w:r w:rsidRPr="00C620BD">
              <w:rPr>
                <w:rFonts w:ascii="Arial" w:hAnsi="Arial" w:cs="Arial"/>
              </w:rPr>
              <w:t>Contracts</w:t>
            </w:r>
          </w:p>
          <w:p w:rsidRPr="00C620BD" w:rsidR="000B3BCB" w:rsidP="000B3BCB" w:rsidRDefault="000B3BCB" w14:paraId="46C11927" w14:textId="77777777">
            <w:pPr>
              <w:numPr>
                <w:ilvl w:val="0"/>
                <w:numId w:val="12"/>
              </w:numPr>
              <w:tabs>
                <w:tab w:val="num" w:pos="268"/>
              </w:tabs>
              <w:ind w:left="268" w:hanging="180"/>
              <w:rPr>
                <w:rFonts w:ascii="Arial" w:hAnsi="Arial" w:cs="Arial"/>
              </w:rPr>
            </w:pPr>
            <w:r w:rsidRPr="00C620BD">
              <w:rPr>
                <w:rFonts w:ascii="Arial" w:hAnsi="Arial" w:cs="Arial"/>
              </w:rPr>
              <w:t>Procurement information</w:t>
            </w:r>
          </w:p>
          <w:p w:rsidR="000B3BCB" w:rsidP="000B3BCB" w:rsidRDefault="6D641D9E" w14:paraId="409E0CFA" w14:textId="6E95D67B">
            <w:pPr>
              <w:numPr>
                <w:ilvl w:val="0"/>
                <w:numId w:val="12"/>
              </w:numPr>
              <w:tabs>
                <w:tab w:val="num" w:pos="268"/>
              </w:tabs>
              <w:ind w:left="268" w:hanging="180"/>
              <w:rPr>
                <w:rFonts w:ascii="Arial" w:hAnsi="Arial" w:cs="Arial"/>
              </w:rPr>
            </w:pPr>
            <w:r w:rsidRPr="6D641D9E">
              <w:rPr>
                <w:rFonts w:ascii="Arial" w:hAnsi="Arial" w:cs="Arial"/>
              </w:rPr>
              <w:t>Research until publication</w:t>
            </w:r>
            <w:r w:rsidR="0093441F">
              <w:rPr>
                <w:rFonts w:ascii="Arial" w:hAnsi="Arial" w:cs="Arial"/>
              </w:rPr>
              <w:t xml:space="preserve">.  Research shared prior to publication will be done so under </w:t>
            </w:r>
            <w:r w:rsidR="00DA6EFF">
              <w:rPr>
                <w:rFonts w:ascii="Arial" w:hAnsi="Arial" w:cs="Arial"/>
              </w:rPr>
              <w:t>access conditions</w:t>
            </w:r>
            <w:r w:rsidR="006A2293">
              <w:rPr>
                <w:rFonts w:ascii="Arial" w:hAnsi="Arial" w:cs="Arial"/>
              </w:rPr>
              <w:t>.</w:t>
            </w:r>
            <w:r w:rsidR="00DA6EFF">
              <w:rPr>
                <w:rFonts w:ascii="Arial" w:hAnsi="Arial" w:cs="Arial"/>
              </w:rPr>
              <w:t xml:space="preserve"> </w:t>
            </w:r>
          </w:p>
          <w:p w:rsidRPr="00C620BD" w:rsidR="0031439E" w:rsidP="000B3BCB" w:rsidRDefault="00332BED" w14:paraId="6823D52F" w14:textId="594B899C">
            <w:pPr>
              <w:numPr>
                <w:ilvl w:val="0"/>
                <w:numId w:val="12"/>
              </w:numPr>
              <w:tabs>
                <w:tab w:val="num" w:pos="268"/>
              </w:tabs>
              <w:ind w:left="268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Internal phone directory </w:t>
            </w:r>
          </w:p>
        </w:tc>
      </w:tr>
      <w:tr w:rsidR="000B3BCB" w:rsidTr="28CC957A" w14:paraId="5609C0E0" w14:textId="77777777">
        <w:tc>
          <w:tcPr>
            <w:tcW w:w="1845" w:type="dxa"/>
          </w:tcPr>
          <w:p w:rsidRPr="00C620BD" w:rsidR="000B3BCB" w:rsidP="00DA6EFF" w:rsidRDefault="00DA6EFF" w14:paraId="3AC0AC50" w14:textId="2AAD1F3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C620BD">
              <w:rPr>
                <w:rFonts w:ascii="Arial" w:hAnsi="Arial" w:cs="Arial"/>
                <w:b/>
              </w:rPr>
              <w:t>Confidential</w:t>
            </w:r>
          </w:p>
        </w:tc>
        <w:tc>
          <w:tcPr>
            <w:tcW w:w="3737" w:type="dxa"/>
          </w:tcPr>
          <w:p w:rsidRPr="00C620BD" w:rsidR="000B3BCB" w:rsidP="77AE11BA" w:rsidRDefault="77AE11BA" w14:paraId="34CC362B" w14:textId="5E6F24FA">
            <w:pPr>
              <w:rPr>
                <w:rFonts w:ascii="Arial" w:hAnsi="Arial" w:cs="Arial"/>
              </w:rPr>
            </w:pPr>
            <w:r w:rsidRPr="77AE11BA">
              <w:rPr>
                <w:rFonts w:ascii="Arial" w:hAnsi="Arial" w:cs="Arial"/>
              </w:rPr>
              <w:t>It is likely that only a very small number of documents will be classed as</w:t>
            </w:r>
            <w:r w:rsidR="00DA6EFF">
              <w:rPr>
                <w:rFonts w:ascii="Arial" w:hAnsi="Arial" w:cs="Arial"/>
              </w:rPr>
              <w:t xml:space="preserve"> confidential</w:t>
            </w:r>
            <w:r w:rsidRPr="77AE11BA">
              <w:rPr>
                <w:rFonts w:ascii="Arial" w:hAnsi="Arial" w:cs="Arial"/>
              </w:rPr>
              <w:t xml:space="preserve">. </w:t>
            </w:r>
          </w:p>
          <w:p w:rsidRPr="00C620BD" w:rsidR="000B3BCB" w:rsidP="77AE11BA" w:rsidRDefault="000B3BCB" w14:paraId="06794CDF" w14:textId="6E0F91DF">
            <w:pPr>
              <w:rPr>
                <w:rFonts w:ascii="Arial" w:hAnsi="Arial" w:cs="Arial"/>
              </w:rPr>
            </w:pPr>
          </w:p>
          <w:p w:rsidRPr="00C620BD" w:rsidR="000B3BCB" w:rsidP="77AE11BA" w:rsidRDefault="77AE11BA" w14:paraId="57F133AB" w14:textId="46236C0C">
            <w:pPr>
              <w:rPr>
                <w:rFonts w:ascii="Arial" w:hAnsi="Arial" w:cs="Arial"/>
              </w:rPr>
            </w:pPr>
            <w:r w:rsidRPr="77AE11BA">
              <w:rPr>
                <w:rFonts w:ascii="Arial" w:hAnsi="Arial" w:cs="Arial"/>
              </w:rPr>
              <w:t xml:space="preserve">These documents will likely be related to </w:t>
            </w:r>
            <w:r w:rsidRPr="00756DD2" w:rsidR="009D49FB">
              <w:rPr>
                <w:rFonts w:ascii="Arial" w:hAnsi="Arial" w:cs="Arial"/>
              </w:rPr>
              <w:t>St George’s</w:t>
            </w:r>
            <w:r w:rsidRPr="77AE11BA" w:rsidR="009D49FB">
              <w:rPr>
                <w:rFonts w:ascii="Arial" w:hAnsi="Arial" w:cs="Arial"/>
              </w:rPr>
              <w:t xml:space="preserve"> </w:t>
            </w:r>
            <w:r w:rsidRPr="77AE11BA">
              <w:rPr>
                <w:rFonts w:ascii="Arial" w:hAnsi="Arial" w:cs="Arial"/>
              </w:rPr>
              <w:t>strategy or remuneration.</w:t>
            </w:r>
          </w:p>
          <w:p w:rsidR="77AE11BA" w:rsidP="77AE11BA" w:rsidRDefault="77AE11BA" w14:paraId="088F5B5B" w14:textId="360BE9BF">
            <w:pPr>
              <w:spacing w:after="160" w:line="259" w:lineRule="auto"/>
              <w:rPr>
                <w:rFonts w:ascii="Arial" w:hAnsi="Arial" w:cs="Arial"/>
              </w:rPr>
            </w:pPr>
          </w:p>
          <w:p w:rsidRPr="00C620BD" w:rsidR="000B3BCB" w:rsidP="000B3BCB" w:rsidRDefault="5F5B14A2" w14:paraId="645B583D" w14:textId="3999BF99">
            <w:pPr>
              <w:spacing w:after="160" w:line="259" w:lineRule="auto"/>
              <w:rPr>
                <w:rFonts w:ascii="Arial" w:hAnsi="Arial" w:cs="Arial"/>
              </w:rPr>
            </w:pPr>
            <w:r w:rsidRPr="28CC957A">
              <w:rPr>
                <w:rFonts w:ascii="Arial" w:hAnsi="Arial" w:cs="Arial"/>
              </w:rPr>
              <w:t xml:space="preserve">Records classified as </w:t>
            </w:r>
            <w:r w:rsidR="00513BFE">
              <w:rPr>
                <w:rFonts w:ascii="Arial" w:hAnsi="Arial" w:cs="Arial"/>
              </w:rPr>
              <w:t>confidential</w:t>
            </w:r>
            <w:r w:rsidRPr="28CC957A" w:rsidR="4F2682AD">
              <w:rPr>
                <w:rFonts w:ascii="Arial" w:hAnsi="Arial" w:cs="Arial"/>
              </w:rPr>
              <w:t xml:space="preserve"> </w:t>
            </w:r>
            <w:r w:rsidRPr="28CC957A">
              <w:rPr>
                <w:rFonts w:ascii="Arial" w:hAnsi="Arial" w:cs="Arial"/>
              </w:rPr>
              <w:t xml:space="preserve">must have appropriate security controls applied to them to ensure that they are protected against improper disclosure </w:t>
            </w:r>
            <w:r w:rsidRPr="28CC957A" w:rsidR="001A4E96">
              <w:rPr>
                <w:rFonts w:ascii="Arial" w:hAnsi="Arial" w:cs="Arial"/>
              </w:rPr>
              <w:t>i.e.,</w:t>
            </w:r>
            <w:r w:rsidRPr="28CC957A">
              <w:rPr>
                <w:rFonts w:ascii="Arial" w:hAnsi="Arial" w:cs="Arial"/>
              </w:rPr>
              <w:t xml:space="preserve"> stored in lockable storage areas, password protected, etc. these records should never be left lying out.</w:t>
            </w:r>
          </w:p>
          <w:p w:rsidRPr="00C620BD" w:rsidR="00582515" w:rsidP="000B3BCB" w:rsidRDefault="00582515" w14:paraId="63D59193" w14:textId="77777777">
            <w:pPr>
              <w:spacing w:after="160" w:line="259" w:lineRule="auto"/>
              <w:rPr>
                <w:rFonts w:ascii="Arial" w:hAnsi="Arial" w:cs="Arial"/>
              </w:rPr>
            </w:pPr>
            <w:r w:rsidRPr="00C620BD">
              <w:rPr>
                <w:rFonts w:ascii="Arial" w:hAnsi="Arial" w:cs="Arial"/>
              </w:rPr>
              <w:t>Includes the following categories of personal data: race / ethnicity, religion, health, politics, criminal record</w:t>
            </w:r>
          </w:p>
        </w:tc>
        <w:tc>
          <w:tcPr>
            <w:tcW w:w="2721" w:type="dxa"/>
          </w:tcPr>
          <w:p w:rsidRPr="00C620BD" w:rsidR="000B3BCB" w:rsidP="000B3BCB" w:rsidRDefault="000B3BCB" w14:paraId="38949E87" w14:textId="77777777">
            <w:pPr>
              <w:numPr>
                <w:ilvl w:val="0"/>
                <w:numId w:val="13"/>
              </w:numPr>
              <w:tabs>
                <w:tab w:val="num" w:pos="268"/>
              </w:tabs>
              <w:ind w:left="268" w:hanging="180"/>
              <w:rPr>
                <w:rFonts w:ascii="Arial" w:hAnsi="Arial" w:cs="Arial"/>
              </w:rPr>
            </w:pPr>
            <w:r w:rsidRPr="00C620BD">
              <w:rPr>
                <w:rFonts w:ascii="Arial" w:hAnsi="Arial" w:cs="Arial"/>
              </w:rPr>
              <w:t>Commercially sensitive records</w:t>
            </w:r>
          </w:p>
          <w:p w:rsidRPr="00C620BD" w:rsidR="000B3BCB" w:rsidP="000B3BCB" w:rsidRDefault="000B3BCB" w14:paraId="6B03BA37" w14:textId="77777777">
            <w:pPr>
              <w:numPr>
                <w:ilvl w:val="0"/>
                <w:numId w:val="13"/>
              </w:numPr>
              <w:tabs>
                <w:tab w:val="num" w:pos="268"/>
              </w:tabs>
              <w:ind w:left="268" w:hanging="180"/>
              <w:rPr>
                <w:rFonts w:ascii="Arial" w:hAnsi="Arial" w:cs="Arial"/>
              </w:rPr>
            </w:pPr>
            <w:r w:rsidRPr="00C620BD">
              <w:rPr>
                <w:rFonts w:ascii="Arial" w:hAnsi="Arial" w:cs="Arial"/>
              </w:rPr>
              <w:t xml:space="preserve">Strategy records </w:t>
            </w:r>
          </w:p>
          <w:p w:rsidRPr="00C620BD" w:rsidR="000B3BCB" w:rsidP="000B3BCB" w:rsidRDefault="77AE11BA" w14:paraId="50D8F108" w14:textId="77777777">
            <w:pPr>
              <w:numPr>
                <w:ilvl w:val="0"/>
                <w:numId w:val="13"/>
              </w:numPr>
              <w:tabs>
                <w:tab w:val="num" w:pos="268"/>
              </w:tabs>
              <w:ind w:left="268" w:hanging="180"/>
              <w:rPr>
                <w:rFonts w:ascii="Arial" w:hAnsi="Arial" w:cs="Arial"/>
              </w:rPr>
            </w:pPr>
            <w:r w:rsidRPr="77AE11BA">
              <w:rPr>
                <w:rFonts w:ascii="Arial" w:hAnsi="Arial" w:cs="Arial"/>
              </w:rPr>
              <w:t>Medical records</w:t>
            </w:r>
          </w:p>
          <w:p w:rsidRPr="00C620BD" w:rsidR="00582515" w:rsidP="00513BFE" w:rsidRDefault="6D641D9E" w14:paraId="428B8223" w14:textId="202CC093">
            <w:pPr>
              <w:numPr>
                <w:ilvl w:val="0"/>
                <w:numId w:val="13"/>
              </w:numPr>
              <w:tabs>
                <w:tab w:val="num" w:pos="268"/>
              </w:tabs>
              <w:ind w:left="268" w:hanging="180"/>
              <w:rPr>
                <w:rFonts w:ascii="Arial" w:hAnsi="Arial" w:cs="Arial"/>
              </w:rPr>
            </w:pPr>
            <w:r w:rsidRPr="28CC957A">
              <w:rPr>
                <w:rFonts w:ascii="Arial" w:hAnsi="Arial" w:cs="Arial"/>
              </w:rPr>
              <w:t>Reserved minutes of committee meetings</w:t>
            </w:r>
          </w:p>
        </w:tc>
      </w:tr>
    </w:tbl>
    <w:p w:rsidR="00BD34C9" w:rsidP="00972855" w:rsidRDefault="00BD34C9" w14:paraId="07459315" w14:textId="77777777">
      <w:pPr>
        <w:spacing w:after="160" w:line="259" w:lineRule="auto"/>
      </w:pPr>
    </w:p>
    <w:p w:rsidR="001152FA" w:rsidP="00273B27" w:rsidRDefault="001152FA" w14:paraId="2C8C4010" w14:textId="3BAF14C4">
      <w:pPr>
        <w:pStyle w:val="Heading1"/>
        <w:keepNext w:val="0"/>
        <w:numPr>
          <w:ilvl w:val="0"/>
          <w:numId w:val="4"/>
        </w:numPr>
        <w:spacing w:before="0" w:after="0"/>
        <w:contextualSpacing/>
      </w:pPr>
      <w:bookmarkStart w:name="_Toc534207118" w:id="5"/>
      <w:r>
        <w:t xml:space="preserve">Application of the Policy </w:t>
      </w:r>
    </w:p>
    <w:p w:rsidR="001152FA" w:rsidP="001152FA" w:rsidRDefault="001152FA" w14:paraId="7368D4E3" w14:textId="77777777">
      <w:pPr>
        <w:pStyle w:val="Heading1"/>
        <w:keepNext w:val="0"/>
        <w:spacing w:before="0" w:after="0"/>
        <w:contextualSpacing/>
      </w:pPr>
    </w:p>
    <w:p w:rsidR="001152FA" w:rsidP="00044F38" w:rsidRDefault="00162918" w14:paraId="2271C7A2" w14:textId="405E6F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Records should be marked with the appropriate classification.  </w:t>
      </w:r>
      <w:r w:rsidR="004A1747">
        <w:rPr>
          <w:rFonts w:ascii="Arial" w:hAnsi="Arial" w:cs="Arial"/>
        </w:rPr>
        <w:t>For example:</w:t>
      </w:r>
    </w:p>
    <w:p w:rsidR="004A1747" w:rsidP="00044F38" w:rsidRDefault="004A1747" w14:paraId="4CB10B7F" w14:textId="77777777">
      <w:pPr>
        <w:rPr>
          <w:rFonts w:ascii="Arial" w:hAnsi="Arial" w:cs="Arial"/>
        </w:rPr>
      </w:pPr>
    </w:p>
    <w:p w:rsidRPr="00044F38" w:rsidR="004A1747" w:rsidP="00044F38" w:rsidRDefault="00DF40A6" w14:paraId="54BAA38F" w14:textId="4C313882">
      <w:pPr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1751B982" wp14:editId="0577F7B2">
            <wp:extent cx="5278755" cy="1115060"/>
            <wp:effectExtent l="0" t="0" r="0" b="8890"/>
            <wp:docPr id="173189624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896243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D55" w:rsidP="00D55E15" w:rsidRDefault="001152FA" w14:paraId="495D6239" w14:textId="77777777">
      <w:pPr>
        <w:rPr>
          <w:rFonts w:ascii="Arial" w:hAnsi="Arial" w:cs="Arial"/>
        </w:rPr>
      </w:pPr>
      <w:r w:rsidRPr="00D55E15">
        <w:rPr>
          <w:rFonts w:ascii="Arial" w:hAnsi="Arial" w:cs="Arial"/>
        </w:rPr>
        <w:br/>
      </w:r>
      <w:r w:rsidR="00D55E15">
        <w:rPr>
          <w:rFonts w:ascii="Arial" w:hAnsi="Arial" w:cs="Arial"/>
        </w:rPr>
        <w:t>In this example</w:t>
      </w:r>
      <w:r w:rsidR="005868A0">
        <w:rPr>
          <w:rFonts w:ascii="Arial" w:hAnsi="Arial" w:cs="Arial"/>
        </w:rPr>
        <w:t xml:space="preserve">, the ‘Confidential’ classification is added to the subject heading to designate the contents as confidential.  </w:t>
      </w:r>
    </w:p>
    <w:p w:rsidR="00195D55" w:rsidP="00D55E15" w:rsidRDefault="00195D55" w14:paraId="46882842" w14:textId="77777777">
      <w:pPr>
        <w:rPr>
          <w:rFonts w:ascii="Arial" w:hAnsi="Arial" w:cs="Arial"/>
        </w:rPr>
      </w:pPr>
    </w:p>
    <w:p w:rsidRPr="00D55E15" w:rsidR="001152FA" w:rsidP="00D55E15" w:rsidRDefault="003469D8" w14:paraId="129A7203" w14:textId="5785038E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4E63D86" wp14:editId="53E4E593">
            <wp:extent cx="5278755" cy="1250315"/>
            <wp:effectExtent l="0" t="0" r="0" b="6985"/>
            <wp:docPr id="148145545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455456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68A0">
        <w:rPr>
          <w:rFonts w:ascii="Arial" w:hAnsi="Arial" w:cs="Arial"/>
        </w:rPr>
        <w:t xml:space="preserve"> </w:t>
      </w:r>
    </w:p>
    <w:p w:rsidRPr="00D55E15" w:rsidR="00A17788" w:rsidP="00A17788" w:rsidRDefault="00A17788" w14:paraId="7FD2DB67" w14:textId="5737EAD7">
      <w:pPr>
        <w:rPr>
          <w:rFonts w:ascii="Arial" w:hAnsi="Arial" w:cs="Arial"/>
        </w:rPr>
      </w:pPr>
    </w:p>
    <w:p w:rsidR="00A17788" w:rsidP="00A17788" w:rsidRDefault="003469D8" w14:paraId="17390DA7" w14:textId="163FD6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this example, </w:t>
      </w:r>
      <w:r w:rsidR="004F1C58">
        <w:rPr>
          <w:rFonts w:ascii="Arial" w:hAnsi="Arial" w:cs="Arial"/>
        </w:rPr>
        <w:t>the ‘Internal’ classification is added at the end of the folders names to designate the contents as for internal us</w:t>
      </w:r>
      <w:r w:rsidR="00DC662C">
        <w:rPr>
          <w:rFonts w:ascii="Arial" w:hAnsi="Arial" w:cs="Arial"/>
        </w:rPr>
        <w:t>e</w:t>
      </w:r>
      <w:r w:rsidR="004F1C58">
        <w:rPr>
          <w:rFonts w:ascii="Arial" w:hAnsi="Arial" w:cs="Arial"/>
        </w:rPr>
        <w:t xml:space="preserve">.  </w:t>
      </w:r>
    </w:p>
    <w:p w:rsidR="00DC662C" w:rsidP="00A17788" w:rsidRDefault="00DC662C" w14:paraId="2908550D" w14:textId="77777777">
      <w:pPr>
        <w:rPr>
          <w:rFonts w:ascii="Arial" w:hAnsi="Arial" w:cs="Arial"/>
        </w:rPr>
      </w:pPr>
    </w:p>
    <w:p w:rsidR="00DC662C" w:rsidP="00A17788" w:rsidRDefault="00D40785" w14:paraId="739C0B1D" w14:textId="64B958F1">
      <w:pPr>
        <w:rPr>
          <w:rFonts w:ascii="Arial" w:hAnsi="Arial" w:cs="Arial"/>
        </w:rPr>
      </w:pPr>
      <w:r>
        <w:rPr>
          <w:rFonts w:ascii="Arial" w:hAnsi="Arial" w:cs="Arial"/>
        </w:rPr>
        <w:t>Another method to capture the appropriate classification designation is via the use of watermarks.</w:t>
      </w:r>
    </w:p>
    <w:p w:rsidR="00D40785" w:rsidP="00A17788" w:rsidRDefault="00D40785" w14:paraId="576BFA33" w14:textId="77777777">
      <w:pPr>
        <w:rPr>
          <w:rFonts w:ascii="Arial" w:hAnsi="Arial" w:cs="Arial"/>
        </w:rPr>
      </w:pPr>
    </w:p>
    <w:p w:rsidRPr="00D55E15" w:rsidR="506D8D46" w:rsidP="00D55E15" w:rsidRDefault="00CE6E83" w14:paraId="66ECA8D3" w14:textId="2119EA67">
      <w:pPr>
        <w:rPr>
          <w:rFonts w:ascii="Arial" w:hAnsi="Arial" w:cs="Arial"/>
        </w:rPr>
      </w:pPr>
      <w:r>
        <w:rPr>
          <w:rFonts w:ascii="Arial" w:hAnsi="Arial" w:cs="Arial"/>
        </w:rPr>
        <w:t>For records held in databases</w:t>
      </w:r>
      <w:r w:rsidR="00E43AFE">
        <w:rPr>
          <w:rFonts w:ascii="Arial" w:hAnsi="Arial" w:cs="Arial"/>
        </w:rPr>
        <w:t xml:space="preserve"> </w:t>
      </w:r>
      <w:r w:rsidR="00CC5D91">
        <w:rPr>
          <w:rFonts w:ascii="Arial" w:hAnsi="Arial" w:cs="Arial"/>
        </w:rPr>
        <w:t xml:space="preserve">or on network drives </w:t>
      </w:r>
      <w:r w:rsidR="00CB0591">
        <w:rPr>
          <w:rFonts w:ascii="Arial" w:hAnsi="Arial" w:cs="Arial"/>
        </w:rPr>
        <w:t xml:space="preserve">the highest classification designation applied to a record </w:t>
      </w:r>
      <w:r w:rsidR="00EC2586">
        <w:rPr>
          <w:rFonts w:ascii="Arial" w:hAnsi="Arial" w:cs="Arial"/>
        </w:rPr>
        <w:t>can be applied to all the records held in</w:t>
      </w:r>
      <w:r w:rsidR="00C84048">
        <w:rPr>
          <w:rFonts w:ascii="Arial" w:hAnsi="Arial" w:cs="Arial"/>
        </w:rPr>
        <w:t xml:space="preserve"> the database.  </w:t>
      </w:r>
      <w:bookmarkEnd w:id="5"/>
      <w:r w:rsidR="00CC5D91">
        <w:rPr>
          <w:rFonts w:ascii="Arial" w:hAnsi="Arial" w:cs="Arial"/>
        </w:rPr>
        <w:t xml:space="preserve">Records can then be declassified on a </w:t>
      </w:r>
      <w:proofErr w:type="gramStart"/>
      <w:r w:rsidR="00CC5D91">
        <w:rPr>
          <w:rFonts w:ascii="Arial" w:hAnsi="Arial" w:cs="Arial"/>
        </w:rPr>
        <w:t>case by case</w:t>
      </w:r>
      <w:proofErr w:type="gramEnd"/>
      <w:r w:rsidR="00CC5D91">
        <w:rPr>
          <w:rFonts w:ascii="Arial" w:hAnsi="Arial" w:cs="Arial"/>
        </w:rPr>
        <w:t xml:space="preserve"> basis.</w:t>
      </w:r>
    </w:p>
    <w:p w:rsidR="506D8D46" w:rsidP="506D8D46" w:rsidRDefault="506D8D46" w14:paraId="0477A6C5" w14:textId="4C3B31EF">
      <w:pPr>
        <w:spacing w:after="160" w:line="259" w:lineRule="auto"/>
      </w:pPr>
    </w:p>
    <w:p w:rsidR="00C3325B" w:rsidP="00C3325B" w:rsidRDefault="00BD34C9" w14:paraId="09383893" w14:textId="77777777">
      <w:pPr>
        <w:pStyle w:val="Heading1"/>
        <w:keepNext w:val="0"/>
        <w:numPr>
          <w:ilvl w:val="0"/>
          <w:numId w:val="4"/>
        </w:numPr>
        <w:spacing w:before="0" w:after="0"/>
        <w:contextualSpacing/>
      </w:pPr>
      <w:bookmarkStart w:name="_Toc534207119" w:id="6"/>
      <w:r>
        <w:t>Authorisation and monitoring</w:t>
      </w:r>
      <w:bookmarkEnd w:id="6"/>
      <w:r>
        <w:t xml:space="preserve"> </w:t>
      </w:r>
    </w:p>
    <w:p w:rsidR="00C3325B" w:rsidP="00C3325B" w:rsidRDefault="00C3325B" w14:paraId="637805D2" w14:textId="77777777">
      <w:pPr>
        <w:rPr>
          <w:rFonts w:ascii="Arial" w:hAnsi="Arial" w:cs="Arial"/>
        </w:rPr>
      </w:pPr>
    </w:p>
    <w:p w:rsidR="00EC7CF6" w:rsidRDefault="00C3325B" w14:paraId="2C947E85" w14:textId="77777777">
      <w:pPr>
        <w:rPr>
          <w:rFonts w:ascii="Arial" w:hAnsi="Arial" w:cs="Arial"/>
        </w:rPr>
      </w:pPr>
      <w:r w:rsidRPr="00C3325B">
        <w:rPr>
          <w:rFonts w:ascii="Arial" w:hAnsi="Arial" w:cs="Arial"/>
        </w:rPr>
        <w:t xml:space="preserve">This policy will be reviewed </w:t>
      </w:r>
      <w:r w:rsidR="00BD34C9">
        <w:rPr>
          <w:rFonts w:ascii="Arial" w:hAnsi="Arial" w:cs="Arial"/>
        </w:rPr>
        <w:t xml:space="preserve">on an annual basis by the Records Manager </w:t>
      </w:r>
    </w:p>
    <w:p w:rsidR="003F5840" w:rsidP="00911372" w:rsidRDefault="003F5840" w14:paraId="463F29E8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color="CAC2B8" w:sz="8" w:space="0"/>
          <w:left w:val="single" w:color="CAC2B8" w:sz="8" w:space="0"/>
          <w:bottom w:val="single" w:color="CAC2B8" w:sz="8" w:space="0"/>
          <w:right w:val="single" w:color="CAC2B8" w:sz="8" w:space="0"/>
          <w:insideH w:val="single" w:color="CAC2B8" w:sz="8" w:space="0"/>
          <w:insideV w:val="single" w:color="CAC2B8" w:sz="8" w:space="0"/>
        </w:tblBorders>
        <w:tblLook w:val="04A0" w:firstRow="1" w:lastRow="0" w:firstColumn="1" w:lastColumn="0" w:noHBand="0" w:noVBand="1"/>
      </w:tblPr>
      <w:tblGrid>
        <w:gridCol w:w="2438"/>
        <w:gridCol w:w="5855"/>
      </w:tblGrid>
      <w:tr w:rsidRPr="009F6293" w:rsidR="009A7340" w:rsidTr="00AC7FAB" w14:paraId="4B6E8FBE" w14:textId="77777777">
        <w:tc>
          <w:tcPr>
            <w:tcW w:w="8293" w:type="dxa"/>
            <w:gridSpan w:val="2"/>
            <w:tcBorders>
              <w:top w:val="single" w:color="CAC2B8" w:sz="8" w:space="0"/>
              <w:left w:val="single" w:color="CAC2B8" w:sz="8" w:space="0"/>
              <w:bottom w:val="single" w:color="CAC2B8" w:sz="8" w:space="0"/>
              <w:right w:val="single" w:color="CAC2B8" w:sz="8" w:space="0"/>
              <w:tl2br w:val="nil"/>
              <w:tr2bl w:val="nil"/>
            </w:tcBorders>
            <w:shd w:val="clear" w:color="auto" w:fill="D9D9D9" w:themeFill="background1" w:themeFillShade="D9"/>
          </w:tcPr>
          <w:p w:rsidRPr="00E46ED0" w:rsidR="009A7340" w:rsidP="009A7340" w:rsidRDefault="009A7340" w14:paraId="3FFF9D7C" w14:textId="77777777">
            <w:pPr>
              <w:jc w:val="both"/>
              <w:outlineLvl w:val="0"/>
              <w:rPr>
                <w:rFonts w:ascii="Arial" w:hAnsi="Arial" w:eastAsia="Arial"/>
                <w:bCs/>
              </w:rPr>
            </w:pPr>
            <w:bookmarkStart w:name="_Toc293961168" w:id="7"/>
            <w:bookmarkStart w:name="_Toc508895010" w:id="8"/>
            <w:bookmarkStart w:name="_Toc534207120" w:id="9"/>
            <w:r w:rsidRPr="00E46ED0">
              <w:rPr>
                <w:rFonts w:ascii="Arial" w:hAnsi="Arial" w:eastAsia="Arial"/>
                <w:bCs/>
              </w:rPr>
              <w:t>Document Information</w:t>
            </w:r>
            <w:bookmarkEnd w:id="7"/>
            <w:bookmarkEnd w:id="8"/>
            <w:bookmarkEnd w:id="9"/>
          </w:p>
        </w:tc>
      </w:tr>
      <w:tr w:rsidRPr="009F6293" w:rsidR="009A7340" w:rsidTr="00AC7FAB" w14:paraId="6BB12FDB" w14:textId="77777777">
        <w:tc>
          <w:tcPr>
            <w:tcW w:w="2438" w:type="dxa"/>
            <w:shd w:val="clear" w:color="auto" w:fill="auto"/>
          </w:tcPr>
          <w:p w:rsidRPr="009F6293" w:rsidR="009A7340" w:rsidP="00DE0E40" w:rsidRDefault="009A7340" w14:paraId="51771FFB" w14:textId="77777777">
            <w:pPr>
              <w:rPr>
                <w:rFonts w:ascii="Arial" w:hAnsi="Arial" w:eastAsia="Arial"/>
                <w:sz w:val="22"/>
                <w:szCs w:val="22"/>
              </w:rPr>
            </w:pPr>
            <w:r w:rsidRPr="009F6293">
              <w:rPr>
                <w:rFonts w:ascii="Arial" w:hAnsi="Arial" w:eastAsia="Arial"/>
                <w:sz w:val="22"/>
                <w:szCs w:val="22"/>
              </w:rPr>
              <w:t>Document Name</w:t>
            </w:r>
          </w:p>
        </w:tc>
        <w:tc>
          <w:tcPr>
            <w:tcW w:w="5855" w:type="dxa"/>
            <w:shd w:val="clear" w:color="auto" w:fill="auto"/>
          </w:tcPr>
          <w:p w:rsidRPr="009F6293" w:rsidR="009A7340" w:rsidP="00582515" w:rsidRDefault="00582515" w14:paraId="7D616755" w14:textId="77777777">
            <w:pPr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ascii="Arial" w:hAnsi="Arial" w:eastAsia="Arial"/>
                <w:sz w:val="22"/>
                <w:szCs w:val="22"/>
              </w:rPr>
              <w:t xml:space="preserve">Classification of Information </w:t>
            </w:r>
            <w:r w:rsidR="00BD34C9">
              <w:rPr>
                <w:rFonts w:ascii="Arial" w:hAnsi="Arial" w:eastAsia="Arial"/>
                <w:sz w:val="22"/>
                <w:szCs w:val="22"/>
              </w:rPr>
              <w:t xml:space="preserve">Policy </w:t>
            </w:r>
          </w:p>
        </w:tc>
      </w:tr>
      <w:tr w:rsidRPr="009F6293" w:rsidR="009A7340" w:rsidTr="00AC7FAB" w14:paraId="33841635" w14:textId="77777777">
        <w:tc>
          <w:tcPr>
            <w:tcW w:w="2438" w:type="dxa"/>
            <w:shd w:val="clear" w:color="auto" w:fill="auto"/>
          </w:tcPr>
          <w:p w:rsidRPr="009F6293" w:rsidR="009A7340" w:rsidP="00DE0E40" w:rsidRDefault="009A7340" w14:paraId="1C7DF0E4" w14:textId="77777777">
            <w:pPr>
              <w:rPr>
                <w:rFonts w:ascii="Arial" w:hAnsi="Arial" w:eastAsia="Arial"/>
                <w:sz w:val="22"/>
                <w:szCs w:val="22"/>
              </w:rPr>
            </w:pPr>
            <w:r w:rsidRPr="009F6293">
              <w:rPr>
                <w:rFonts w:ascii="Arial" w:hAnsi="Arial" w:eastAsia="Arial"/>
                <w:sz w:val="22"/>
                <w:szCs w:val="22"/>
              </w:rPr>
              <w:t>Author</w:t>
            </w:r>
          </w:p>
        </w:tc>
        <w:tc>
          <w:tcPr>
            <w:tcW w:w="5855" w:type="dxa"/>
            <w:shd w:val="clear" w:color="auto" w:fill="auto"/>
          </w:tcPr>
          <w:p w:rsidRPr="009F6293" w:rsidR="009A7340" w:rsidP="00DE0E40" w:rsidRDefault="00BD34C9" w14:paraId="0D75039C" w14:textId="77777777">
            <w:pPr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ascii="Arial" w:hAnsi="Arial" w:eastAsia="Arial"/>
                <w:sz w:val="22"/>
                <w:szCs w:val="22"/>
              </w:rPr>
              <w:t>Kirsten Hylan, Records Manager</w:t>
            </w:r>
          </w:p>
        </w:tc>
      </w:tr>
      <w:tr w:rsidRPr="009F6293" w:rsidR="009A7340" w:rsidTr="00AC7FAB" w14:paraId="70E9BBF3" w14:textId="77777777">
        <w:tc>
          <w:tcPr>
            <w:tcW w:w="2438" w:type="dxa"/>
            <w:shd w:val="clear" w:color="auto" w:fill="auto"/>
          </w:tcPr>
          <w:p w:rsidRPr="009F6293" w:rsidR="009A7340" w:rsidP="00DE0E40" w:rsidRDefault="009A7340" w14:paraId="2A743410" w14:textId="77777777">
            <w:pPr>
              <w:rPr>
                <w:rFonts w:ascii="Arial" w:hAnsi="Arial" w:eastAsia="Arial"/>
                <w:sz w:val="22"/>
                <w:szCs w:val="22"/>
              </w:rPr>
            </w:pPr>
            <w:r w:rsidRPr="009F6293">
              <w:rPr>
                <w:rFonts w:ascii="Arial" w:hAnsi="Arial" w:eastAsia="Arial"/>
                <w:sz w:val="22"/>
                <w:szCs w:val="22"/>
              </w:rPr>
              <w:t>Next review</w:t>
            </w:r>
          </w:p>
        </w:tc>
        <w:tc>
          <w:tcPr>
            <w:tcW w:w="5855" w:type="dxa"/>
            <w:shd w:val="clear" w:color="auto" w:fill="auto"/>
          </w:tcPr>
          <w:p w:rsidRPr="009F6293" w:rsidR="009A7340" w:rsidP="00DE0E40" w:rsidRDefault="009A7340" w14:paraId="72335B52" w14:textId="1806C770">
            <w:pPr>
              <w:rPr>
                <w:rFonts w:ascii="Arial" w:hAnsi="Arial" w:eastAsia="Arial"/>
                <w:sz w:val="22"/>
                <w:szCs w:val="22"/>
              </w:rPr>
            </w:pPr>
          </w:p>
        </w:tc>
      </w:tr>
      <w:tr w:rsidRPr="009F6293" w:rsidR="00DB68C7" w:rsidTr="00AC7FAB" w14:paraId="7B4A5A50" w14:textId="77777777">
        <w:trPr>
          <w:trHeight w:val="1055"/>
        </w:trPr>
        <w:tc>
          <w:tcPr>
            <w:tcW w:w="2438" w:type="dxa"/>
            <w:shd w:val="clear" w:color="auto" w:fill="auto"/>
          </w:tcPr>
          <w:p w:rsidRPr="009F6293" w:rsidR="00DB68C7" w:rsidP="00DE0E40" w:rsidRDefault="00DB68C7" w14:paraId="558D71FF" w14:textId="77777777">
            <w:pPr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ascii="Arial" w:hAnsi="Arial" w:eastAsia="Arial"/>
                <w:sz w:val="22"/>
                <w:szCs w:val="22"/>
              </w:rPr>
              <w:t>Related policies</w:t>
            </w:r>
          </w:p>
        </w:tc>
        <w:tc>
          <w:tcPr>
            <w:tcW w:w="5855" w:type="dxa"/>
            <w:shd w:val="clear" w:color="auto" w:fill="auto"/>
          </w:tcPr>
          <w:p w:rsidR="00BD34C9" w:rsidP="00582515" w:rsidRDefault="000167C4" w14:paraId="3815231C" w14:textId="78B64555">
            <w:pPr>
              <w:pStyle w:val="ListParagraph"/>
              <w:numPr>
                <w:ilvl w:val="0"/>
                <w:numId w:val="11"/>
              </w:numPr>
              <w:rPr>
                <w:rFonts w:eastAsia="Arial"/>
                <w:sz w:val="22"/>
                <w:szCs w:val="22"/>
              </w:rPr>
            </w:pPr>
            <w:hyperlink w:history="1" r:id="rId12">
              <w:r w:rsidRPr="000167C4">
                <w:rPr>
                  <w:rStyle w:val="Hyperlink"/>
                  <w:rFonts w:eastAsia="Arial"/>
                  <w:sz w:val="22"/>
                  <w:szCs w:val="22"/>
                </w:rPr>
                <w:t>Data Protection Policy</w:t>
              </w:r>
            </w:hyperlink>
            <w:r>
              <w:rPr>
                <w:rFonts w:eastAsia="Arial"/>
                <w:sz w:val="22"/>
                <w:szCs w:val="22"/>
              </w:rPr>
              <w:t xml:space="preserve"> </w:t>
            </w:r>
          </w:p>
          <w:p w:rsidR="000167C4" w:rsidP="00582515" w:rsidRDefault="000167C4" w14:paraId="3D5704BC" w14:textId="77777777">
            <w:pPr>
              <w:pStyle w:val="ListParagraph"/>
              <w:numPr>
                <w:ilvl w:val="0"/>
                <w:numId w:val="11"/>
              </w:numPr>
              <w:rPr>
                <w:rFonts w:eastAsia="Arial"/>
                <w:sz w:val="22"/>
                <w:szCs w:val="22"/>
              </w:rPr>
            </w:pPr>
            <w:hyperlink w:history="1" r:id="rId13">
              <w:r w:rsidRPr="00B5169F">
                <w:rPr>
                  <w:rStyle w:val="Hyperlink"/>
                  <w:rFonts w:eastAsia="Arial"/>
                  <w:sz w:val="22"/>
                  <w:szCs w:val="22"/>
                </w:rPr>
                <w:t>Information and Technical Security</w:t>
              </w:r>
            </w:hyperlink>
            <w:r>
              <w:rPr>
                <w:rFonts w:eastAsia="Arial"/>
                <w:sz w:val="22"/>
                <w:szCs w:val="22"/>
              </w:rPr>
              <w:t xml:space="preserve"> Policies </w:t>
            </w:r>
          </w:p>
          <w:p w:rsidR="00B5169F" w:rsidP="00582515" w:rsidRDefault="00B5169F" w14:paraId="2A196476" w14:textId="77777777">
            <w:pPr>
              <w:pStyle w:val="ListParagraph"/>
              <w:numPr>
                <w:ilvl w:val="0"/>
                <w:numId w:val="11"/>
              </w:numPr>
              <w:rPr>
                <w:rFonts w:eastAsia="Arial"/>
                <w:sz w:val="22"/>
                <w:szCs w:val="22"/>
              </w:rPr>
            </w:pPr>
            <w:hyperlink w:history="1" r:id="rId14">
              <w:r w:rsidRPr="00B5169F">
                <w:rPr>
                  <w:rStyle w:val="Hyperlink"/>
                  <w:rFonts w:eastAsia="Arial"/>
                  <w:sz w:val="22"/>
                  <w:szCs w:val="22"/>
                </w:rPr>
                <w:t>Research Data Management</w:t>
              </w:r>
            </w:hyperlink>
            <w:r>
              <w:rPr>
                <w:rFonts w:eastAsia="Arial"/>
                <w:sz w:val="22"/>
                <w:szCs w:val="22"/>
              </w:rPr>
              <w:t xml:space="preserve"> </w:t>
            </w:r>
          </w:p>
          <w:p w:rsidRPr="009F6293" w:rsidR="00A17788" w:rsidP="00582515" w:rsidRDefault="00A17788" w14:paraId="3B7B4B86" w14:textId="4E1E7D3C">
            <w:pPr>
              <w:pStyle w:val="ListParagraph"/>
              <w:numPr>
                <w:ilvl w:val="0"/>
                <w:numId w:val="11"/>
              </w:numPr>
              <w:rPr>
                <w:rFonts w:eastAsia="Arial"/>
                <w:sz w:val="22"/>
                <w:szCs w:val="22"/>
              </w:rPr>
            </w:pPr>
            <w:hyperlink w:history="1" r:id="rId15">
              <w:r w:rsidRPr="00A17788">
                <w:rPr>
                  <w:rStyle w:val="Hyperlink"/>
                  <w:rFonts w:eastAsia="Arial"/>
                  <w:sz w:val="22"/>
                  <w:szCs w:val="22"/>
                </w:rPr>
                <w:t>IG Definitions</w:t>
              </w:r>
            </w:hyperlink>
          </w:p>
        </w:tc>
      </w:tr>
    </w:tbl>
    <w:p w:rsidRPr="009F6293" w:rsidR="009A7340" w:rsidP="00911372" w:rsidRDefault="009A7340" w14:paraId="3A0FF5F2" w14:textId="7777777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color="CAC2B8" w:sz="8" w:space="0"/>
          <w:left w:val="single" w:color="CAC2B8" w:sz="8" w:space="0"/>
          <w:bottom w:val="single" w:color="CAC2B8" w:sz="8" w:space="0"/>
          <w:right w:val="single" w:color="CAC2B8" w:sz="8" w:space="0"/>
          <w:insideH w:val="single" w:color="CAC2B8" w:sz="8" w:space="0"/>
          <w:insideV w:val="single" w:color="CAC2B8" w:sz="8" w:space="0"/>
        </w:tblBorders>
        <w:tblLook w:val="0420" w:firstRow="1" w:lastRow="0" w:firstColumn="0" w:lastColumn="0" w:noHBand="0" w:noVBand="1"/>
      </w:tblPr>
      <w:tblGrid>
        <w:gridCol w:w="1075"/>
        <w:gridCol w:w="1418"/>
        <w:gridCol w:w="5800"/>
      </w:tblGrid>
      <w:tr w:rsidRPr="009F6293" w:rsidR="009A7340" w:rsidTr="00E46ED0" w14:paraId="58E462DF" w14:textId="77777777">
        <w:tc>
          <w:tcPr>
            <w:tcW w:w="8293" w:type="dxa"/>
            <w:gridSpan w:val="3"/>
            <w:tcBorders>
              <w:top w:val="single" w:color="CAC2B8" w:sz="8" w:space="0"/>
              <w:left w:val="single" w:color="CAC2B8" w:sz="8" w:space="0"/>
              <w:bottom w:val="single" w:color="CAC2B8" w:sz="8" w:space="0"/>
              <w:right w:val="single" w:color="CAC2B8" w:sz="8" w:space="0"/>
              <w:tl2br w:val="nil"/>
              <w:tr2bl w:val="nil"/>
            </w:tcBorders>
            <w:shd w:val="clear" w:color="auto" w:fill="D9D9D9" w:themeFill="background1" w:themeFillShade="D9"/>
          </w:tcPr>
          <w:p w:rsidRPr="00E46ED0" w:rsidR="009A7340" w:rsidP="009A7340" w:rsidRDefault="009A7340" w14:paraId="296B46C6" w14:textId="77777777">
            <w:pPr>
              <w:outlineLvl w:val="0"/>
              <w:rPr>
                <w:rFonts w:ascii="Arial" w:hAnsi="Arial" w:eastAsia="Arial"/>
                <w:bCs/>
              </w:rPr>
            </w:pPr>
            <w:bookmarkStart w:name="_Toc293961169" w:id="10"/>
            <w:bookmarkStart w:name="_Toc508895011" w:id="11"/>
            <w:bookmarkStart w:name="_Toc534207121" w:id="12"/>
            <w:r w:rsidRPr="00E46ED0">
              <w:rPr>
                <w:rFonts w:ascii="Arial" w:hAnsi="Arial" w:eastAsia="Arial"/>
                <w:bCs/>
              </w:rPr>
              <w:t>Document History</w:t>
            </w:r>
            <w:bookmarkEnd w:id="10"/>
            <w:bookmarkEnd w:id="11"/>
            <w:bookmarkEnd w:id="12"/>
          </w:p>
        </w:tc>
      </w:tr>
      <w:tr w:rsidRPr="009F6293" w:rsidR="009A7340" w:rsidTr="00325B93" w14:paraId="430C75D1" w14:textId="77777777">
        <w:tc>
          <w:tcPr>
            <w:tcW w:w="1075" w:type="dxa"/>
            <w:shd w:val="clear" w:color="auto" w:fill="auto"/>
          </w:tcPr>
          <w:p w:rsidRPr="009F6293" w:rsidR="009A7340" w:rsidP="00DE0E40" w:rsidRDefault="009A7340" w14:paraId="6B814A1E" w14:textId="77777777">
            <w:pPr>
              <w:rPr>
                <w:rFonts w:ascii="Arial" w:hAnsi="Arial" w:eastAsia="Arial"/>
                <w:sz w:val="22"/>
                <w:szCs w:val="22"/>
              </w:rPr>
            </w:pPr>
            <w:r w:rsidRPr="009F6293">
              <w:rPr>
                <w:rFonts w:ascii="Arial" w:hAnsi="Arial" w:eastAsia="Arial"/>
                <w:sz w:val="22"/>
                <w:szCs w:val="22"/>
              </w:rPr>
              <w:t>Version</w:t>
            </w:r>
          </w:p>
        </w:tc>
        <w:tc>
          <w:tcPr>
            <w:tcW w:w="1418" w:type="dxa"/>
            <w:shd w:val="clear" w:color="auto" w:fill="auto"/>
          </w:tcPr>
          <w:p w:rsidRPr="009F6293" w:rsidR="009A7340" w:rsidP="00DE0E40" w:rsidRDefault="009A7340" w14:paraId="491072FA" w14:textId="77777777">
            <w:pPr>
              <w:rPr>
                <w:rFonts w:ascii="Arial" w:hAnsi="Arial" w:eastAsia="Arial"/>
                <w:sz w:val="22"/>
                <w:szCs w:val="22"/>
              </w:rPr>
            </w:pPr>
            <w:r w:rsidRPr="009F6293">
              <w:rPr>
                <w:rFonts w:ascii="Arial" w:hAnsi="Arial" w:eastAsia="Arial"/>
                <w:sz w:val="22"/>
                <w:szCs w:val="22"/>
              </w:rPr>
              <w:t>Date</w:t>
            </w:r>
          </w:p>
        </w:tc>
        <w:tc>
          <w:tcPr>
            <w:tcW w:w="5800" w:type="dxa"/>
            <w:shd w:val="clear" w:color="auto" w:fill="auto"/>
          </w:tcPr>
          <w:p w:rsidRPr="009F6293" w:rsidR="009A7340" w:rsidP="00DE0E40" w:rsidRDefault="009A7340" w14:paraId="6778EC64" w14:textId="77777777">
            <w:pPr>
              <w:rPr>
                <w:rFonts w:ascii="Arial" w:hAnsi="Arial" w:eastAsia="Arial"/>
                <w:sz w:val="22"/>
                <w:szCs w:val="22"/>
              </w:rPr>
            </w:pPr>
            <w:r w:rsidRPr="009F6293">
              <w:rPr>
                <w:rFonts w:ascii="Arial" w:hAnsi="Arial" w:eastAsia="Arial"/>
                <w:sz w:val="22"/>
                <w:szCs w:val="22"/>
              </w:rPr>
              <w:t>Summary of change</w:t>
            </w:r>
          </w:p>
        </w:tc>
      </w:tr>
      <w:tr w:rsidRPr="00FC76D5" w:rsidR="009A7340" w:rsidTr="00325B93" w14:paraId="5630AD66" w14:textId="77777777">
        <w:tc>
          <w:tcPr>
            <w:tcW w:w="1075" w:type="dxa"/>
            <w:shd w:val="clear" w:color="auto" w:fill="auto"/>
          </w:tcPr>
          <w:p w:rsidRPr="00FC76D5" w:rsidR="009A7340" w:rsidP="00DE0E40" w:rsidRDefault="009A7340" w14:paraId="61829076" w14:textId="77777777">
            <w:pPr>
              <w:rPr>
                <w:rFonts w:ascii="Arial" w:hAnsi="Arial" w:eastAsia="Arial"/>
              </w:rPr>
            </w:pPr>
          </w:p>
        </w:tc>
        <w:tc>
          <w:tcPr>
            <w:tcW w:w="1418" w:type="dxa"/>
            <w:shd w:val="clear" w:color="auto" w:fill="auto"/>
          </w:tcPr>
          <w:p w:rsidRPr="00FC76D5" w:rsidR="009A7340" w:rsidP="00F41862" w:rsidRDefault="009A7340" w14:paraId="2BA226A1" w14:textId="77777777">
            <w:pPr>
              <w:rPr>
                <w:rFonts w:ascii="Arial" w:hAnsi="Arial" w:eastAsia="Arial"/>
              </w:rPr>
            </w:pPr>
          </w:p>
        </w:tc>
        <w:tc>
          <w:tcPr>
            <w:tcW w:w="5800" w:type="dxa"/>
            <w:shd w:val="clear" w:color="auto" w:fill="auto"/>
          </w:tcPr>
          <w:p w:rsidRPr="00FC76D5" w:rsidR="009A7340" w:rsidP="00DE0E40" w:rsidRDefault="009A7340" w14:paraId="17AD93B2" w14:textId="77777777">
            <w:pPr>
              <w:rPr>
                <w:rFonts w:ascii="Arial" w:hAnsi="Arial" w:eastAsia="Arial"/>
              </w:rPr>
            </w:pPr>
          </w:p>
        </w:tc>
      </w:tr>
      <w:tr w:rsidRPr="00FC76D5" w:rsidR="009A7340" w:rsidTr="00325B93" w14:paraId="0DE4B5B7" w14:textId="77777777">
        <w:tc>
          <w:tcPr>
            <w:tcW w:w="1075" w:type="dxa"/>
            <w:shd w:val="clear" w:color="auto" w:fill="auto"/>
          </w:tcPr>
          <w:p w:rsidRPr="00FC76D5" w:rsidR="009A7340" w:rsidP="00DE0E40" w:rsidRDefault="009A7340" w14:paraId="66204FF1" w14:textId="77777777">
            <w:pPr>
              <w:rPr>
                <w:rFonts w:ascii="Arial" w:hAnsi="Arial" w:eastAsia="Arial"/>
              </w:rPr>
            </w:pPr>
          </w:p>
        </w:tc>
        <w:tc>
          <w:tcPr>
            <w:tcW w:w="1418" w:type="dxa"/>
            <w:shd w:val="clear" w:color="auto" w:fill="auto"/>
          </w:tcPr>
          <w:p w:rsidRPr="00FC76D5" w:rsidR="009A7340" w:rsidP="00DE0E40" w:rsidRDefault="009A7340" w14:paraId="2DBF0D7D" w14:textId="77777777">
            <w:pPr>
              <w:rPr>
                <w:rFonts w:ascii="Arial" w:hAnsi="Arial" w:eastAsia="Arial"/>
              </w:rPr>
            </w:pPr>
          </w:p>
        </w:tc>
        <w:tc>
          <w:tcPr>
            <w:tcW w:w="5800" w:type="dxa"/>
            <w:shd w:val="clear" w:color="auto" w:fill="auto"/>
          </w:tcPr>
          <w:p w:rsidRPr="00FC76D5" w:rsidR="009A7340" w:rsidP="00DE0E40" w:rsidRDefault="009A7340" w14:paraId="6B62F1B3" w14:textId="77777777">
            <w:pPr>
              <w:rPr>
                <w:rFonts w:ascii="Arial" w:hAnsi="Arial" w:eastAsia="Arial"/>
              </w:rPr>
            </w:pPr>
          </w:p>
        </w:tc>
      </w:tr>
      <w:tr w:rsidRPr="00FC76D5" w:rsidR="009A7340" w:rsidTr="00325B93" w14:paraId="02F2C34E" w14:textId="77777777">
        <w:tc>
          <w:tcPr>
            <w:tcW w:w="1075" w:type="dxa"/>
            <w:shd w:val="clear" w:color="auto" w:fill="auto"/>
          </w:tcPr>
          <w:p w:rsidRPr="00FC76D5" w:rsidR="009A7340" w:rsidP="00DE0E40" w:rsidRDefault="009A7340" w14:paraId="680A4E5D" w14:textId="77777777">
            <w:pPr>
              <w:rPr>
                <w:rFonts w:ascii="Arial" w:hAnsi="Arial" w:eastAsia="Arial"/>
              </w:rPr>
            </w:pPr>
          </w:p>
        </w:tc>
        <w:tc>
          <w:tcPr>
            <w:tcW w:w="1418" w:type="dxa"/>
            <w:shd w:val="clear" w:color="auto" w:fill="auto"/>
          </w:tcPr>
          <w:p w:rsidRPr="00FC76D5" w:rsidR="009A7340" w:rsidP="00DE0E40" w:rsidRDefault="009A7340" w14:paraId="19219836" w14:textId="77777777">
            <w:pPr>
              <w:rPr>
                <w:rFonts w:ascii="Arial" w:hAnsi="Arial" w:eastAsia="Arial"/>
              </w:rPr>
            </w:pPr>
          </w:p>
        </w:tc>
        <w:tc>
          <w:tcPr>
            <w:tcW w:w="5800" w:type="dxa"/>
            <w:shd w:val="clear" w:color="auto" w:fill="auto"/>
          </w:tcPr>
          <w:p w:rsidRPr="00FC76D5" w:rsidR="009A7340" w:rsidP="00DE0E40" w:rsidRDefault="009A7340" w14:paraId="296FEF7D" w14:textId="77777777">
            <w:pPr>
              <w:rPr>
                <w:rFonts w:ascii="Arial" w:hAnsi="Arial" w:eastAsia="Arial"/>
              </w:rPr>
            </w:pPr>
          </w:p>
        </w:tc>
      </w:tr>
    </w:tbl>
    <w:p w:rsidR="009A7340" w:rsidP="00C84048" w:rsidRDefault="009A7340" w14:paraId="54CD245A" w14:textId="77777777">
      <w:pPr>
        <w:rPr>
          <w:rFonts w:ascii="Arial" w:hAnsi="Arial" w:cs="Arial"/>
        </w:rPr>
      </w:pPr>
    </w:p>
    <w:sectPr w:rsidR="009A7340" w:rsidSect="00AD49F6">
      <w:pgSz w:w="11907" w:h="16840" w:code="9"/>
      <w:pgMar w:top="1440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F323B" w14:textId="77777777" w:rsidR="00DB6A30" w:rsidRDefault="00DB6A30" w:rsidP="009754C9">
      <w:r>
        <w:separator/>
      </w:r>
    </w:p>
  </w:endnote>
  <w:endnote w:type="continuationSeparator" w:id="0">
    <w:p w14:paraId="666A3A59" w14:textId="77777777" w:rsidR="00DB6A30" w:rsidRDefault="00DB6A30" w:rsidP="0097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86C4E" w14:textId="77777777" w:rsidR="00DB6A30" w:rsidRDefault="00DB6A30" w:rsidP="009754C9">
      <w:r>
        <w:separator/>
      </w:r>
    </w:p>
  </w:footnote>
  <w:footnote w:type="continuationSeparator" w:id="0">
    <w:p w14:paraId="1FF3B8FF" w14:textId="77777777" w:rsidR="00DB6A30" w:rsidRDefault="00DB6A30" w:rsidP="009754C9">
      <w:r>
        <w:continuationSeparator/>
      </w:r>
    </w:p>
  </w:footnote>
  <w:footnote w:id="1">
    <w:p w14:paraId="4120E753" w14:textId="6A242CA9" w:rsidR="00B0617E" w:rsidRDefault="00B0617E">
      <w:pPr>
        <w:pStyle w:val="FootnoteText"/>
      </w:pPr>
      <w:r>
        <w:rPr>
          <w:rStyle w:val="FootnoteReference"/>
        </w:rPr>
        <w:footnoteRef/>
      </w:r>
      <w:r w:rsidRPr="00B0617E">
        <w:rPr>
          <w:sz w:val="16"/>
          <w:szCs w:val="16"/>
        </w:rPr>
        <w:t xml:space="preserve"> </w:t>
      </w:r>
      <w:r w:rsidRPr="00B0617E">
        <w:rPr>
          <w:rFonts w:ascii="Arial" w:hAnsi="Arial" w:cs="Arial"/>
          <w:sz w:val="16"/>
          <w:szCs w:val="16"/>
        </w:rPr>
        <w:t>Information Asset -a body of information, defined and managed as a single unit so it can be</w:t>
      </w:r>
      <w:r>
        <w:rPr>
          <w:rFonts w:ascii="Arial" w:hAnsi="Arial" w:cs="Arial"/>
          <w:sz w:val="16"/>
          <w:szCs w:val="16"/>
        </w:rPr>
        <w:t xml:space="preserve"> </w:t>
      </w:r>
      <w:r w:rsidRPr="00B0617E">
        <w:rPr>
          <w:rFonts w:ascii="Arial" w:hAnsi="Arial" w:cs="Arial"/>
          <w:sz w:val="16"/>
          <w:szCs w:val="16"/>
        </w:rPr>
        <w:t xml:space="preserve">understood, </w:t>
      </w:r>
      <w:r w:rsidR="001A4E96" w:rsidRPr="00B0617E">
        <w:rPr>
          <w:rFonts w:ascii="Arial" w:hAnsi="Arial" w:cs="Arial"/>
          <w:sz w:val="16"/>
          <w:szCs w:val="16"/>
        </w:rPr>
        <w:t>shared,</w:t>
      </w:r>
      <w:r w:rsidRPr="00B0617E">
        <w:rPr>
          <w:rFonts w:ascii="Arial" w:hAnsi="Arial" w:cs="Arial"/>
          <w:sz w:val="16"/>
          <w:szCs w:val="16"/>
        </w:rPr>
        <w:t xml:space="preserve"> and protected by SGUL.</w:t>
      </w:r>
      <w:r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Pr="00B0617E">
          <w:rPr>
            <w:rStyle w:val="Hyperlink"/>
            <w:rFonts w:ascii="Arial" w:hAnsi="Arial" w:cs="Arial"/>
            <w:sz w:val="16"/>
            <w:szCs w:val="16"/>
          </w:rPr>
          <w:t>IG Definitions Policy</w:t>
        </w:r>
      </w:hyperlink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E98"/>
    <w:multiLevelType w:val="hybridMultilevel"/>
    <w:tmpl w:val="ABA8C9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62A33"/>
    <w:multiLevelType w:val="hybridMultilevel"/>
    <w:tmpl w:val="C504B01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1E7A"/>
    <w:multiLevelType w:val="hybridMultilevel"/>
    <w:tmpl w:val="10F605AC"/>
    <w:lvl w:ilvl="0" w:tplc="FD30E1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93016"/>
    <w:multiLevelType w:val="hybridMultilevel"/>
    <w:tmpl w:val="F4F4E9E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E736A"/>
    <w:multiLevelType w:val="hybridMultilevel"/>
    <w:tmpl w:val="F6AA91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E479D"/>
    <w:multiLevelType w:val="hybridMultilevel"/>
    <w:tmpl w:val="37E6C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062C4"/>
    <w:multiLevelType w:val="hybridMultilevel"/>
    <w:tmpl w:val="A348A9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22E72"/>
    <w:multiLevelType w:val="hybridMultilevel"/>
    <w:tmpl w:val="FA0E8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0113A"/>
    <w:multiLevelType w:val="hybridMultilevel"/>
    <w:tmpl w:val="4B38F4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24285"/>
    <w:multiLevelType w:val="hybridMultilevel"/>
    <w:tmpl w:val="F788A0C8"/>
    <w:lvl w:ilvl="0" w:tplc="F9F4D24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4ED03F8E"/>
    <w:multiLevelType w:val="multilevel"/>
    <w:tmpl w:val="C9D204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51446775"/>
    <w:multiLevelType w:val="multilevel"/>
    <w:tmpl w:val="DB98D82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690A75BE"/>
    <w:multiLevelType w:val="hybridMultilevel"/>
    <w:tmpl w:val="81F041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E63ED"/>
    <w:multiLevelType w:val="hybridMultilevel"/>
    <w:tmpl w:val="3CF040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52DD2"/>
    <w:multiLevelType w:val="hybridMultilevel"/>
    <w:tmpl w:val="FE7ED0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6619C"/>
    <w:multiLevelType w:val="hybridMultilevel"/>
    <w:tmpl w:val="D3CA87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E6071"/>
    <w:multiLevelType w:val="hybridMultilevel"/>
    <w:tmpl w:val="A348A9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011777">
    <w:abstractNumId w:val="13"/>
  </w:num>
  <w:num w:numId="2" w16cid:durableId="518859360">
    <w:abstractNumId w:val="8"/>
  </w:num>
  <w:num w:numId="3" w16cid:durableId="1968117941">
    <w:abstractNumId w:val="9"/>
  </w:num>
  <w:num w:numId="4" w16cid:durableId="2070688319">
    <w:abstractNumId w:val="11"/>
  </w:num>
  <w:num w:numId="5" w16cid:durableId="324669304">
    <w:abstractNumId w:val="7"/>
  </w:num>
  <w:num w:numId="6" w16cid:durableId="2086371303">
    <w:abstractNumId w:val="10"/>
  </w:num>
  <w:num w:numId="7" w16cid:durableId="434832642">
    <w:abstractNumId w:val="12"/>
  </w:num>
  <w:num w:numId="8" w16cid:durableId="930041975">
    <w:abstractNumId w:val="6"/>
  </w:num>
  <w:num w:numId="9" w16cid:durableId="1671326666">
    <w:abstractNumId w:val="16"/>
  </w:num>
  <w:num w:numId="10" w16cid:durableId="2147161442">
    <w:abstractNumId w:val="15"/>
  </w:num>
  <w:num w:numId="11" w16cid:durableId="1618366618">
    <w:abstractNumId w:val="0"/>
  </w:num>
  <w:num w:numId="12" w16cid:durableId="1208450187">
    <w:abstractNumId w:val="1"/>
  </w:num>
  <w:num w:numId="13" w16cid:durableId="81995753">
    <w:abstractNumId w:val="3"/>
  </w:num>
  <w:num w:numId="14" w16cid:durableId="746921476">
    <w:abstractNumId w:val="4"/>
  </w:num>
  <w:num w:numId="15" w16cid:durableId="557060504">
    <w:abstractNumId w:val="14"/>
  </w:num>
  <w:num w:numId="16" w16cid:durableId="1309822122">
    <w:abstractNumId w:val="5"/>
  </w:num>
  <w:num w:numId="17" w16cid:durableId="1953391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C97"/>
    <w:rsid w:val="000070F5"/>
    <w:rsid w:val="00007553"/>
    <w:rsid w:val="00012249"/>
    <w:rsid w:val="0001315B"/>
    <w:rsid w:val="000167C4"/>
    <w:rsid w:val="00022566"/>
    <w:rsid w:val="00022862"/>
    <w:rsid w:val="00024A18"/>
    <w:rsid w:val="0002520A"/>
    <w:rsid w:val="00031B8D"/>
    <w:rsid w:val="00031BF5"/>
    <w:rsid w:val="000349BA"/>
    <w:rsid w:val="00044DD7"/>
    <w:rsid w:val="00044F38"/>
    <w:rsid w:val="0004675F"/>
    <w:rsid w:val="00047134"/>
    <w:rsid w:val="00054B9F"/>
    <w:rsid w:val="000571F5"/>
    <w:rsid w:val="00063ABE"/>
    <w:rsid w:val="00066E30"/>
    <w:rsid w:val="0007622F"/>
    <w:rsid w:val="00080BF1"/>
    <w:rsid w:val="0008132E"/>
    <w:rsid w:val="00085A70"/>
    <w:rsid w:val="00085C20"/>
    <w:rsid w:val="0009121F"/>
    <w:rsid w:val="000924E9"/>
    <w:rsid w:val="00094D6C"/>
    <w:rsid w:val="000A2FD1"/>
    <w:rsid w:val="000A3D62"/>
    <w:rsid w:val="000A4F41"/>
    <w:rsid w:val="000A6593"/>
    <w:rsid w:val="000A669C"/>
    <w:rsid w:val="000B2452"/>
    <w:rsid w:val="000B3BCB"/>
    <w:rsid w:val="000C486B"/>
    <w:rsid w:val="000D14DE"/>
    <w:rsid w:val="000D4C22"/>
    <w:rsid w:val="000D7F09"/>
    <w:rsid w:val="000E1437"/>
    <w:rsid w:val="000E4349"/>
    <w:rsid w:val="000E7875"/>
    <w:rsid w:val="000F2000"/>
    <w:rsid w:val="000F66E6"/>
    <w:rsid w:val="000F75F1"/>
    <w:rsid w:val="00105A24"/>
    <w:rsid w:val="00112C9D"/>
    <w:rsid w:val="001152FA"/>
    <w:rsid w:val="00117F5D"/>
    <w:rsid w:val="00124818"/>
    <w:rsid w:val="001266E7"/>
    <w:rsid w:val="00126F7A"/>
    <w:rsid w:val="00135F38"/>
    <w:rsid w:val="0014490D"/>
    <w:rsid w:val="0015085D"/>
    <w:rsid w:val="00162918"/>
    <w:rsid w:val="001704D7"/>
    <w:rsid w:val="0017570C"/>
    <w:rsid w:val="00176ADC"/>
    <w:rsid w:val="00177D7E"/>
    <w:rsid w:val="001823E9"/>
    <w:rsid w:val="0019011B"/>
    <w:rsid w:val="0019569B"/>
    <w:rsid w:val="00195D55"/>
    <w:rsid w:val="001A4E96"/>
    <w:rsid w:val="001B6116"/>
    <w:rsid w:val="001C2BC6"/>
    <w:rsid w:val="001C67A3"/>
    <w:rsid w:val="001D1D92"/>
    <w:rsid w:val="001E6563"/>
    <w:rsid w:val="001F224A"/>
    <w:rsid w:val="001F76E1"/>
    <w:rsid w:val="00201C50"/>
    <w:rsid w:val="00206552"/>
    <w:rsid w:val="00207023"/>
    <w:rsid w:val="002070AA"/>
    <w:rsid w:val="00211495"/>
    <w:rsid w:val="00212A6A"/>
    <w:rsid w:val="00215867"/>
    <w:rsid w:val="00215D59"/>
    <w:rsid w:val="00216475"/>
    <w:rsid w:val="00226167"/>
    <w:rsid w:val="0022734D"/>
    <w:rsid w:val="00233F0A"/>
    <w:rsid w:val="002352FD"/>
    <w:rsid w:val="002433A8"/>
    <w:rsid w:val="002510D2"/>
    <w:rsid w:val="002525F7"/>
    <w:rsid w:val="0025391F"/>
    <w:rsid w:val="002659E3"/>
    <w:rsid w:val="00267E4D"/>
    <w:rsid w:val="00273B27"/>
    <w:rsid w:val="002811FD"/>
    <w:rsid w:val="00281721"/>
    <w:rsid w:val="002919C8"/>
    <w:rsid w:val="002A3174"/>
    <w:rsid w:val="002A3459"/>
    <w:rsid w:val="002A54CD"/>
    <w:rsid w:val="002B1037"/>
    <w:rsid w:val="002B34A3"/>
    <w:rsid w:val="002B522C"/>
    <w:rsid w:val="002C54EE"/>
    <w:rsid w:val="002C55FE"/>
    <w:rsid w:val="002C5965"/>
    <w:rsid w:val="002C5FC6"/>
    <w:rsid w:val="002D130A"/>
    <w:rsid w:val="002E493C"/>
    <w:rsid w:val="002E6958"/>
    <w:rsid w:val="002F1A45"/>
    <w:rsid w:val="002F1C45"/>
    <w:rsid w:val="002F22ED"/>
    <w:rsid w:val="002F342B"/>
    <w:rsid w:val="002F4745"/>
    <w:rsid w:val="002F4991"/>
    <w:rsid w:val="002F4D5E"/>
    <w:rsid w:val="00303A44"/>
    <w:rsid w:val="00310CFC"/>
    <w:rsid w:val="0031439E"/>
    <w:rsid w:val="00316897"/>
    <w:rsid w:val="00325B93"/>
    <w:rsid w:val="003272BB"/>
    <w:rsid w:val="00332BED"/>
    <w:rsid w:val="00334064"/>
    <w:rsid w:val="003355DC"/>
    <w:rsid w:val="00335E42"/>
    <w:rsid w:val="00345639"/>
    <w:rsid w:val="003468FE"/>
    <w:rsid w:val="003469D8"/>
    <w:rsid w:val="0035154B"/>
    <w:rsid w:val="00351FBC"/>
    <w:rsid w:val="0035282C"/>
    <w:rsid w:val="0035591B"/>
    <w:rsid w:val="0036387E"/>
    <w:rsid w:val="0036418B"/>
    <w:rsid w:val="003733FD"/>
    <w:rsid w:val="00383FDF"/>
    <w:rsid w:val="00390226"/>
    <w:rsid w:val="003903BD"/>
    <w:rsid w:val="003A5FB9"/>
    <w:rsid w:val="003B2206"/>
    <w:rsid w:val="003B3460"/>
    <w:rsid w:val="003B360F"/>
    <w:rsid w:val="003B6251"/>
    <w:rsid w:val="003C3FC1"/>
    <w:rsid w:val="003D1E16"/>
    <w:rsid w:val="003E6BD7"/>
    <w:rsid w:val="003F5840"/>
    <w:rsid w:val="003F7612"/>
    <w:rsid w:val="0040182E"/>
    <w:rsid w:val="00407EDA"/>
    <w:rsid w:val="00415028"/>
    <w:rsid w:val="004268E6"/>
    <w:rsid w:val="0043395C"/>
    <w:rsid w:val="0043459A"/>
    <w:rsid w:val="004361F5"/>
    <w:rsid w:val="00442EF7"/>
    <w:rsid w:val="00446235"/>
    <w:rsid w:val="00451AA1"/>
    <w:rsid w:val="004525E0"/>
    <w:rsid w:val="00457368"/>
    <w:rsid w:val="00481C5D"/>
    <w:rsid w:val="004A0483"/>
    <w:rsid w:val="004A1747"/>
    <w:rsid w:val="004A7A09"/>
    <w:rsid w:val="004B18D5"/>
    <w:rsid w:val="004B35A7"/>
    <w:rsid w:val="004C5293"/>
    <w:rsid w:val="004D272F"/>
    <w:rsid w:val="004D2DE9"/>
    <w:rsid w:val="004D4E1A"/>
    <w:rsid w:val="004E2C3F"/>
    <w:rsid w:val="004F0D32"/>
    <w:rsid w:val="004F0E2E"/>
    <w:rsid w:val="004F1C58"/>
    <w:rsid w:val="004F3515"/>
    <w:rsid w:val="004F7A26"/>
    <w:rsid w:val="0050098D"/>
    <w:rsid w:val="005017F6"/>
    <w:rsid w:val="00513BFE"/>
    <w:rsid w:val="00531E02"/>
    <w:rsid w:val="00532D59"/>
    <w:rsid w:val="00532EF9"/>
    <w:rsid w:val="005424DB"/>
    <w:rsid w:val="00545606"/>
    <w:rsid w:val="0055136F"/>
    <w:rsid w:val="005569CF"/>
    <w:rsid w:val="00557A45"/>
    <w:rsid w:val="005616F1"/>
    <w:rsid w:val="005630DD"/>
    <w:rsid w:val="0057631E"/>
    <w:rsid w:val="00582515"/>
    <w:rsid w:val="005839A0"/>
    <w:rsid w:val="005868A0"/>
    <w:rsid w:val="00594CF6"/>
    <w:rsid w:val="00597C35"/>
    <w:rsid w:val="005A5890"/>
    <w:rsid w:val="005A6BB9"/>
    <w:rsid w:val="005B3976"/>
    <w:rsid w:val="005B7467"/>
    <w:rsid w:val="005C080A"/>
    <w:rsid w:val="005C1F1B"/>
    <w:rsid w:val="005C5D6F"/>
    <w:rsid w:val="005D5F24"/>
    <w:rsid w:val="005D7894"/>
    <w:rsid w:val="005F1878"/>
    <w:rsid w:val="00604FD9"/>
    <w:rsid w:val="00612731"/>
    <w:rsid w:val="006130C7"/>
    <w:rsid w:val="00613B82"/>
    <w:rsid w:val="00614E4B"/>
    <w:rsid w:val="0061786E"/>
    <w:rsid w:val="006238C7"/>
    <w:rsid w:val="006269A2"/>
    <w:rsid w:val="00630A60"/>
    <w:rsid w:val="00630A82"/>
    <w:rsid w:val="00634FB1"/>
    <w:rsid w:val="0063745A"/>
    <w:rsid w:val="00643BBF"/>
    <w:rsid w:val="006457E4"/>
    <w:rsid w:val="0064694C"/>
    <w:rsid w:val="00654541"/>
    <w:rsid w:val="00655522"/>
    <w:rsid w:val="006612BF"/>
    <w:rsid w:val="00662433"/>
    <w:rsid w:val="00666F3D"/>
    <w:rsid w:val="00670123"/>
    <w:rsid w:val="00673109"/>
    <w:rsid w:val="00680568"/>
    <w:rsid w:val="00680D17"/>
    <w:rsid w:val="00687679"/>
    <w:rsid w:val="00691BED"/>
    <w:rsid w:val="006924DA"/>
    <w:rsid w:val="0069681F"/>
    <w:rsid w:val="006A2293"/>
    <w:rsid w:val="006A565A"/>
    <w:rsid w:val="006C2000"/>
    <w:rsid w:val="006C20CF"/>
    <w:rsid w:val="006C465C"/>
    <w:rsid w:val="006D33F1"/>
    <w:rsid w:val="006E038F"/>
    <w:rsid w:val="006E385D"/>
    <w:rsid w:val="006E39A7"/>
    <w:rsid w:val="006E4F63"/>
    <w:rsid w:val="006F2423"/>
    <w:rsid w:val="006F7235"/>
    <w:rsid w:val="007116CD"/>
    <w:rsid w:val="00714824"/>
    <w:rsid w:val="0071716B"/>
    <w:rsid w:val="00720883"/>
    <w:rsid w:val="00727D65"/>
    <w:rsid w:val="00730871"/>
    <w:rsid w:val="00730E4F"/>
    <w:rsid w:val="0074662A"/>
    <w:rsid w:val="00747345"/>
    <w:rsid w:val="00750A40"/>
    <w:rsid w:val="00756DD2"/>
    <w:rsid w:val="00770C43"/>
    <w:rsid w:val="007714E9"/>
    <w:rsid w:val="00774DE2"/>
    <w:rsid w:val="007775CD"/>
    <w:rsid w:val="007803B7"/>
    <w:rsid w:val="007830D2"/>
    <w:rsid w:val="00784A9A"/>
    <w:rsid w:val="007910AF"/>
    <w:rsid w:val="00792C4F"/>
    <w:rsid w:val="00796514"/>
    <w:rsid w:val="007A474D"/>
    <w:rsid w:val="007B0890"/>
    <w:rsid w:val="007C4AC1"/>
    <w:rsid w:val="007D45AA"/>
    <w:rsid w:val="007E00DD"/>
    <w:rsid w:val="007E626E"/>
    <w:rsid w:val="007F4455"/>
    <w:rsid w:val="007F4F22"/>
    <w:rsid w:val="00800BB5"/>
    <w:rsid w:val="00801DD7"/>
    <w:rsid w:val="008120C0"/>
    <w:rsid w:val="00820D04"/>
    <w:rsid w:val="0082107A"/>
    <w:rsid w:val="00835CC7"/>
    <w:rsid w:val="00836175"/>
    <w:rsid w:val="00841708"/>
    <w:rsid w:val="008463C0"/>
    <w:rsid w:val="00847910"/>
    <w:rsid w:val="00853D22"/>
    <w:rsid w:val="00855914"/>
    <w:rsid w:val="00856067"/>
    <w:rsid w:val="008623C5"/>
    <w:rsid w:val="0086405A"/>
    <w:rsid w:val="008750B1"/>
    <w:rsid w:val="008843E8"/>
    <w:rsid w:val="00884FE6"/>
    <w:rsid w:val="00892F6F"/>
    <w:rsid w:val="00893D26"/>
    <w:rsid w:val="008A48AE"/>
    <w:rsid w:val="008B3864"/>
    <w:rsid w:val="008B7809"/>
    <w:rsid w:val="008C6EB8"/>
    <w:rsid w:val="008D060A"/>
    <w:rsid w:val="008D0915"/>
    <w:rsid w:val="008D5B27"/>
    <w:rsid w:val="008E5D28"/>
    <w:rsid w:val="008E6DFA"/>
    <w:rsid w:val="008F1ECC"/>
    <w:rsid w:val="008F5890"/>
    <w:rsid w:val="008F70AB"/>
    <w:rsid w:val="00905245"/>
    <w:rsid w:val="00906980"/>
    <w:rsid w:val="009078F4"/>
    <w:rsid w:val="0091127E"/>
    <w:rsid w:val="00911372"/>
    <w:rsid w:val="0091396F"/>
    <w:rsid w:val="0093441F"/>
    <w:rsid w:val="0093456B"/>
    <w:rsid w:val="0093584C"/>
    <w:rsid w:val="00936532"/>
    <w:rsid w:val="0093709A"/>
    <w:rsid w:val="009509CC"/>
    <w:rsid w:val="009607F6"/>
    <w:rsid w:val="009632CB"/>
    <w:rsid w:val="00972855"/>
    <w:rsid w:val="0097486C"/>
    <w:rsid w:val="009754C9"/>
    <w:rsid w:val="00975C07"/>
    <w:rsid w:val="00980E15"/>
    <w:rsid w:val="009861C4"/>
    <w:rsid w:val="009866FF"/>
    <w:rsid w:val="00993635"/>
    <w:rsid w:val="009A10BA"/>
    <w:rsid w:val="009A2AE1"/>
    <w:rsid w:val="009A402E"/>
    <w:rsid w:val="009A7340"/>
    <w:rsid w:val="009B44A3"/>
    <w:rsid w:val="009B6426"/>
    <w:rsid w:val="009C03E2"/>
    <w:rsid w:val="009C1135"/>
    <w:rsid w:val="009C1760"/>
    <w:rsid w:val="009C28C4"/>
    <w:rsid w:val="009C465B"/>
    <w:rsid w:val="009C5A6F"/>
    <w:rsid w:val="009D365B"/>
    <w:rsid w:val="009D49FB"/>
    <w:rsid w:val="009D768D"/>
    <w:rsid w:val="009E589B"/>
    <w:rsid w:val="009E7D0F"/>
    <w:rsid w:val="009F6293"/>
    <w:rsid w:val="00A01421"/>
    <w:rsid w:val="00A01BF8"/>
    <w:rsid w:val="00A07615"/>
    <w:rsid w:val="00A13079"/>
    <w:rsid w:val="00A17788"/>
    <w:rsid w:val="00A24D17"/>
    <w:rsid w:val="00A32117"/>
    <w:rsid w:val="00A329D7"/>
    <w:rsid w:val="00A4056F"/>
    <w:rsid w:val="00A42EEF"/>
    <w:rsid w:val="00A53416"/>
    <w:rsid w:val="00A5510C"/>
    <w:rsid w:val="00A67565"/>
    <w:rsid w:val="00A711C9"/>
    <w:rsid w:val="00A84BC2"/>
    <w:rsid w:val="00A86489"/>
    <w:rsid w:val="00A877D0"/>
    <w:rsid w:val="00A920C5"/>
    <w:rsid w:val="00A93E7F"/>
    <w:rsid w:val="00A94B0F"/>
    <w:rsid w:val="00AA35B7"/>
    <w:rsid w:val="00AA7617"/>
    <w:rsid w:val="00AB014F"/>
    <w:rsid w:val="00AB38F3"/>
    <w:rsid w:val="00AB44A3"/>
    <w:rsid w:val="00AC1D99"/>
    <w:rsid w:val="00AC232D"/>
    <w:rsid w:val="00AC4A2D"/>
    <w:rsid w:val="00AC7FAB"/>
    <w:rsid w:val="00AD0870"/>
    <w:rsid w:val="00AD0E26"/>
    <w:rsid w:val="00AD49F6"/>
    <w:rsid w:val="00AD7EC0"/>
    <w:rsid w:val="00AE0C60"/>
    <w:rsid w:val="00AE45DA"/>
    <w:rsid w:val="00AF2BB9"/>
    <w:rsid w:val="00AF48EF"/>
    <w:rsid w:val="00B044BB"/>
    <w:rsid w:val="00B0617E"/>
    <w:rsid w:val="00B10967"/>
    <w:rsid w:val="00B1648F"/>
    <w:rsid w:val="00B20F7A"/>
    <w:rsid w:val="00B22DC4"/>
    <w:rsid w:val="00B24333"/>
    <w:rsid w:val="00B25C6C"/>
    <w:rsid w:val="00B264B0"/>
    <w:rsid w:val="00B33988"/>
    <w:rsid w:val="00B36666"/>
    <w:rsid w:val="00B416B3"/>
    <w:rsid w:val="00B45FB6"/>
    <w:rsid w:val="00B47F0C"/>
    <w:rsid w:val="00B5169F"/>
    <w:rsid w:val="00B523C6"/>
    <w:rsid w:val="00B53CF0"/>
    <w:rsid w:val="00B607F3"/>
    <w:rsid w:val="00B63B9C"/>
    <w:rsid w:val="00B67922"/>
    <w:rsid w:val="00B71D05"/>
    <w:rsid w:val="00B72CEC"/>
    <w:rsid w:val="00B85486"/>
    <w:rsid w:val="00B91342"/>
    <w:rsid w:val="00B92E67"/>
    <w:rsid w:val="00B97BD3"/>
    <w:rsid w:val="00BA0669"/>
    <w:rsid w:val="00BA4440"/>
    <w:rsid w:val="00BC2333"/>
    <w:rsid w:val="00BD34C9"/>
    <w:rsid w:val="00BD6A86"/>
    <w:rsid w:val="00BE2B96"/>
    <w:rsid w:val="00BF13BD"/>
    <w:rsid w:val="00C05D9E"/>
    <w:rsid w:val="00C068FF"/>
    <w:rsid w:val="00C11FE8"/>
    <w:rsid w:val="00C13D97"/>
    <w:rsid w:val="00C14674"/>
    <w:rsid w:val="00C14786"/>
    <w:rsid w:val="00C14CA4"/>
    <w:rsid w:val="00C15FAD"/>
    <w:rsid w:val="00C17372"/>
    <w:rsid w:val="00C2272F"/>
    <w:rsid w:val="00C3325B"/>
    <w:rsid w:val="00C41E07"/>
    <w:rsid w:val="00C47AA7"/>
    <w:rsid w:val="00C5052B"/>
    <w:rsid w:val="00C620BD"/>
    <w:rsid w:val="00C7528A"/>
    <w:rsid w:val="00C84048"/>
    <w:rsid w:val="00C84156"/>
    <w:rsid w:val="00C905B7"/>
    <w:rsid w:val="00C93112"/>
    <w:rsid w:val="00C97E6A"/>
    <w:rsid w:val="00CA610B"/>
    <w:rsid w:val="00CB0591"/>
    <w:rsid w:val="00CC5D91"/>
    <w:rsid w:val="00CD02EF"/>
    <w:rsid w:val="00CD038C"/>
    <w:rsid w:val="00CD1915"/>
    <w:rsid w:val="00CD6D5C"/>
    <w:rsid w:val="00CE08E9"/>
    <w:rsid w:val="00CE32F4"/>
    <w:rsid w:val="00CE6E83"/>
    <w:rsid w:val="00D01FF2"/>
    <w:rsid w:val="00D03282"/>
    <w:rsid w:val="00D07FAE"/>
    <w:rsid w:val="00D12491"/>
    <w:rsid w:val="00D17037"/>
    <w:rsid w:val="00D17CFB"/>
    <w:rsid w:val="00D304CE"/>
    <w:rsid w:val="00D34B6A"/>
    <w:rsid w:val="00D37DAF"/>
    <w:rsid w:val="00D40785"/>
    <w:rsid w:val="00D42867"/>
    <w:rsid w:val="00D45286"/>
    <w:rsid w:val="00D52AA7"/>
    <w:rsid w:val="00D55E15"/>
    <w:rsid w:val="00D766E5"/>
    <w:rsid w:val="00D772B0"/>
    <w:rsid w:val="00D8064D"/>
    <w:rsid w:val="00D80873"/>
    <w:rsid w:val="00D85E45"/>
    <w:rsid w:val="00D91855"/>
    <w:rsid w:val="00D94450"/>
    <w:rsid w:val="00D973AC"/>
    <w:rsid w:val="00DA4AB3"/>
    <w:rsid w:val="00DA6EFF"/>
    <w:rsid w:val="00DB68C7"/>
    <w:rsid w:val="00DB6A30"/>
    <w:rsid w:val="00DC662C"/>
    <w:rsid w:val="00DD119E"/>
    <w:rsid w:val="00DD3253"/>
    <w:rsid w:val="00DE244E"/>
    <w:rsid w:val="00DE2BA9"/>
    <w:rsid w:val="00DF3CCC"/>
    <w:rsid w:val="00DF40A6"/>
    <w:rsid w:val="00DF52B5"/>
    <w:rsid w:val="00DF70F9"/>
    <w:rsid w:val="00E00C4A"/>
    <w:rsid w:val="00E10E6A"/>
    <w:rsid w:val="00E12ABD"/>
    <w:rsid w:val="00E2029D"/>
    <w:rsid w:val="00E3235D"/>
    <w:rsid w:val="00E34FA1"/>
    <w:rsid w:val="00E43AFE"/>
    <w:rsid w:val="00E46ED0"/>
    <w:rsid w:val="00E56C93"/>
    <w:rsid w:val="00E61CFF"/>
    <w:rsid w:val="00E92639"/>
    <w:rsid w:val="00EA4ED3"/>
    <w:rsid w:val="00EB39CA"/>
    <w:rsid w:val="00EB48A6"/>
    <w:rsid w:val="00EC0841"/>
    <w:rsid w:val="00EC2586"/>
    <w:rsid w:val="00EC2B14"/>
    <w:rsid w:val="00EC497E"/>
    <w:rsid w:val="00EC55C2"/>
    <w:rsid w:val="00EC7CF6"/>
    <w:rsid w:val="00ED152B"/>
    <w:rsid w:val="00ED2263"/>
    <w:rsid w:val="00EE19D5"/>
    <w:rsid w:val="00EE76F2"/>
    <w:rsid w:val="00EF1C18"/>
    <w:rsid w:val="00F030D8"/>
    <w:rsid w:val="00F054A7"/>
    <w:rsid w:val="00F10ED1"/>
    <w:rsid w:val="00F2069A"/>
    <w:rsid w:val="00F233F8"/>
    <w:rsid w:val="00F27978"/>
    <w:rsid w:val="00F329CF"/>
    <w:rsid w:val="00F3690B"/>
    <w:rsid w:val="00F36FAC"/>
    <w:rsid w:val="00F41862"/>
    <w:rsid w:val="00F55F4D"/>
    <w:rsid w:val="00F63D26"/>
    <w:rsid w:val="00F72108"/>
    <w:rsid w:val="00F733A6"/>
    <w:rsid w:val="00F8598D"/>
    <w:rsid w:val="00F90EA1"/>
    <w:rsid w:val="00FA3390"/>
    <w:rsid w:val="00FA38D7"/>
    <w:rsid w:val="00FA60A2"/>
    <w:rsid w:val="00FA6238"/>
    <w:rsid w:val="00FA6399"/>
    <w:rsid w:val="00FA6708"/>
    <w:rsid w:val="00FB42F7"/>
    <w:rsid w:val="00FB51B0"/>
    <w:rsid w:val="00FC3001"/>
    <w:rsid w:val="00FC6BC6"/>
    <w:rsid w:val="00FC77E2"/>
    <w:rsid w:val="00FD3A56"/>
    <w:rsid w:val="00FE22E7"/>
    <w:rsid w:val="00FE2C97"/>
    <w:rsid w:val="00FE3A68"/>
    <w:rsid w:val="00FE5184"/>
    <w:rsid w:val="00FE7E30"/>
    <w:rsid w:val="00FF25A2"/>
    <w:rsid w:val="00FF3C03"/>
    <w:rsid w:val="12C12617"/>
    <w:rsid w:val="177F2D72"/>
    <w:rsid w:val="1E9DE279"/>
    <w:rsid w:val="2631BB02"/>
    <w:rsid w:val="28CC957A"/>
    <w:rsid w:val="2A2111C4"/>
    <w:rsid w:val="2E8094E6"/>
    <w:rsid w:val="2E836E32"/>
    <w:rsid w:val="30176EAE"/>
    <w:rsid w:val="3A2AC3DA"/>
    <w:rsid w:val="3F6C9C9E"/>
    <w:rsid w:val="438506E1"/>
    <w:rsid w:val="4A0A7F14"/>
    <w:rsid w:val="4B176A64"/>
    <w:rsid w:val="4BD91E15"/>
    <w:rsid w:val="4E251F17"/>
    <w:rsid w:val="4F2682AD"/>
    <w:rsid w:val="506D8D46"/>
    <w:rsid w:val="53E53939"/>
    <w:rsid w:val="55976F70"/>
    <w:rsid w:val="5F4AC4D2"/>
    <w:rsid w:val="5F5B14A2"/>
    <w:rsid w:val="61CB4739"/>
    <w:rsid w:val="6688B828"/>
    <w:rsid w:val="6D19EDCA"/>
    <w:rsid w:val="6D641D9E"/>
    <w:rsid w:val="6E01BCD3"/>
    <w:rsid w:val="6E048C7A"/>
    <w:rsid w:val="6F683D85"/>
    <w:rsid w:val="77AE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CC46C62"/>
  <w15:chartTrackingRefBased/>
  <w15:docId w15:val="{0EE02217-ADAD-47B1-B63D-5957D2FF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8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20F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20F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34C9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D6D5C"/>
    <w:rPr>
      <w:color w:val="0000FF"/>
      <w:u w:val="single"/>
    </w:rPr>
  </w:style>
  <w:style w:type="paragraph" w:styleId="BalloonText">
    <w:name w:val="Balloon Text"/>
    <w:basedOn w:val="Normal"/>
    <w:semiHidden/>
    <w:rsid w:val="00C47A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F5840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B20F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B20F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20F7A"/>
    <w:pPr>
      <w:tabs>
        <w:tab w:val="left" w:pos="567"/>
      </w:tabs>
      <w:ind w:left="720" w:hanging="567"/>
      <w:contextualSpacing/>
    </w:pPr>
    <w:rPr>
      <w:rFonts w:ascii="Arial" w:eastAsia="SimSun" w:hAnsi="Arial" w:cs="Arial"/>
      <w:sz w:val="20"/>
      <w:szCs w:val="20"/>
      <w:lang w:val="en-AU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85591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rsid w:val="00855914"/>
    <w:pPr>
      <w:spacing w:after="100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rsid w:val="0085591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855914"/>
    <w:pPr>
      <w:spacing w:after="100"/>
      <w:ind w:left="480"/>
    </w:pPr>
  </w:style>
  <w:style w:type="character" w:styleId="SubtleEmphasis">
    <w:name w:val="Subtle Emphasis"/>
    <w:basedOn w:val="DefaultParagraphFont"/>
    <w:uiPriority w:val="19"/>
    <w:qFormat/>
    <w:rsid w:val="007E626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rsid w:val="009754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754C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9754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754C9"/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D34C9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34C9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BD34C9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BD34C9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F3690B"/>
    <w:pPr>
      <w:spacing w:before="100" w:beforeAutospacing="1" w:after="100" w:afterAutospacing="1"/>
    </w:pPr>
    <w:rPr>
      <w:lang w:eastAsia="en-GB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2029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rsid w:val="000467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4675F"/>
    <w:rPr>
      <w:b/>
      <w:bCs/>
      <w:lang w:eastAsia="en-US"/>
    </w:rPr>
  </w:style>
  <w:style w:type="paragraph" w:styleId="Revision">
    <w:name w:val="Revision"/>
    <w:hidden/>
    <w:uiPriority w:val="99"/>
    <w:semiHidden/>
    <w:rsid w:val="0031439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gul.ac.uk/about/our-professional-services/information-services/information-governance/policies-and-procedures/information-technical-securi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gul.ac.uk/about/our-professional-services/information-services/information-governance/data-protection/data-protection-polic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sgul.ac.uk/about/our-professional-services/information-services/information-governance/policies-and-procedures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sgul.ac.uk/about/our-professional-services/information-services/library/researchers/research-data-management" TargetMode="External"/><Relationship Id="rId14" Type="http://schemas.openxmlformats.org/officeDocument/2006/relationships/hyperlink" Target="https://www.sgul.ac.uk/about/our-professional-services/information-services/library/researchers/research-data-manageme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gul.ac.uk/about/our-professional-services/information-services/information-governance/policies-and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938A3-B10F-4E79-AB2F-99E16B34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973</Words>
  <Characters>6892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Title:</vt:lpstr>
    </vt:vector>
  </TitlesOfParts>
  <Manager/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of Information</dc:title>
  <dc:subject>
  </dc:subject>
  <dc:creator>
  </dc:creator>
  <cp:keywords>
  </cp:keywords>
  <dc:description>
  </dc:description>
  <cp:lastModifiedBy>Kirsten Hylan</cp:lastModifiedBy>
  <cp:revision>3</cp:revision>
  <cp:lastPrinted>2009-07-22T13:18:00Z</cp:lastPrinted>
  <dcterms:created xsi:type="dcterms:W3CDTF">2023-10-02T14:06:00Z</dcterms:created>
  <dcterms:modified xsi:type="dcterms:W3CDTF">2025-03-19T12:14:53Z</dcterms:modified>
</cp:coreProperties>
</file>