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E0DDA" w:rsidR="00FE0DDA" w:rsidP="00FE0DDA" w:rsidRDefault="00FE0DDA">
      <w:pPr>
        <w:jc w:val="center"/>
        <w:rPr>
          <w:b/>
          <w:sz w:val="32"/>
          <w:szCs w:val="32"/>
        </w:rPr>
      </w:pPr>
      <w:r w:rsidRPr="00FE0DDA">
        <w:rPr>
          <w:b/>
          <w:sz w:val="32"/>
          <w:szCs w:val="32"/>
        </w:rPr>
        <w:t>Implications of COVID 19 on clinical research</w:t>
      </w:r>
      <w:r w:rsidR="0003404E">
        <w:rPr>
          <w:b/>
          <w:sz w:val="32"/>
          <w:szCs w:val="32"/>
        </w:rPr>
        <w:t xml:space="preserve"> studies</w:t>
      </w:r>
    </w:p>
    <w:p w:rsidR="00BB62F1" w:rsidP="00FE0DDA" w:rsidRDefault="00FE0DDA">
      <w:pPr>
        <w:jc w:val="center"/>
        <w:rPr>
          <w:b/>
          <w:sz w:val="28"/>
          <w:szCs w:val="28"/>
        </w:rPr>
      </w:pPr>
      <w:r w:rsidRPr="00FE0DDA">
        <w:rPr>
          <w:b/>
          <w:sz w:val="28"/>
          <w:szCs w:val="28"/>
        </w:rPr>
        <w:t xml:space="preserve">Guidance for </w:t>
      </w:r>
      <w:r w:rsidR="00051778">
        <w:rPr>
          <w:b/>
          <w:sz w:val="28"/>
          <w:szCs w:val="28"/>
        </w:rPr>
        <w:t>i</w:t>
      </w:r>
      <w:r w:rsidRPr="00FE0DDA">
        <w:rPr>
          <w:b/>
          <w:sz w:val="28"/>
          <w:szCs w:val="28"/>
        </w:rPr>
        <w:t>nvestigators and research staff</w:t>
      </w:r>
    </w:p>
    <w:p w:rsidR="00DB72EE" w:rsidP="00FE0DDA" w:rsidRDefault="00DB72EE">
      <w:pPr>
        <w:jc w:val="center"/>
        <w:rPr>
          <w:b/>
          <w:sz w:val="28"/>
          <w:szCs w:val="28"/>
        </w:rPr>
      </w:pPr>
    </w:p>
    <w:p w:rsidR="00DB72EE" w:rsidP="00FE0DDA" w:rsidRDefault="00FE0DDA">
      <w:pPr>
        <w:rPr>
          <w:sz w:val="24"/>
          <w:szCs w:val="24"/>
        </w:rPr>
      </w:pPr>
      <w:r w:rsidRPr="00FE0DDA">
        <w:rPr>
          <w:sz w:val="24"/>
          <w:szCs w:val="24"/>
        </w:rPr>
        <w:t xml:space="preserve">This </w:t>
      </w:r>
      <w:r>
        <w:rPr>
          <w:sz w:val="24"/>
          <w:szCs w:val="24"/>
        </w:rPr>
        <w:t>guidance relates to all clinical research studies taking p</w:t>
      </w:r>
      <w:r w:rsidR="00051778">
        <w:rPr>
          <w:sz w:val="24"/>
          <w:szCs w:val="24"/>
        </w:rPr>
        <w:t xml:space="preserve">lace </w:t>
      </w:r>
      <w:r>
        <w:rPr>
          <w:sz w:val="24"/>
          <w:szCs w:val="24"/>
        </w:rPr>
        <w:t>at St George’s University Hospitals NHS Foundation Trust</w:t>
      </w:r>
      <w:r w:rsidR="007C263F">
        <w:rPr>
          <w:sz w:val="24"/>
          <w:szCs w:val="24"/>
        </w:rPr>
        <w:t xml:space="preserve"> and may be subject to change</w:t>
      </w:r>
      <w:r>
        <w:rPr>
          <w:sz w:val="24"/>
          <w:szCs w:val="24"/>
        </w:rPr>
        <w:t>. The guidance complements guidance provided by the Trust to staff and patients regarding COVID 19.</w:t>
      </w:r>
    </w:p>
    <w:p w:rsidRPr="00FE0DDA" w:rsidR="00DB72EE" w:rsidP="00FE0DDA" w:rsidRDefault="00FE0DDA">
      <w:pPr>
        <w:rPr>
          <w:b/>
          <w:sz w:val="24"/>
          <w:szCs w:val="24"/>
        </w:rPr>
      </w:pPr>
      <w:r w:rsidRPr="00FE0DDA">
        <w:rPr>
          <w:b/>
          <w:sz w:val="24"/>
          <w:szCs w:val="24"/>
        </w:rPr>
        <w:t xml:space="preserve">General advice for </w:t>
      </w:r>
      <w:r w:rsidR="00051778">
        <w:rPr>
          <w:b/>
          <w:sz w:val="24"/>
          <w:szCs w:val="24"/>
        </w:rPr>
        <w:t>clinical research</w:t>
      </w:r>
      <w:r w:rsidRPr="00FE0DDA">
        <w:rPr>
          <w:b/>
          <w:sz w:val="24"/>
          <w:szCs w:val="24"/>
        </w:rPr>
        <w:t xml:space="preserve"> staff</w:t>
      </w:r>
    </w:p>
    <w:p w:rsidR="00DB72EE" w:rsidP="00FE0DDA" w:rsidRDefault="00FE0DDA">
      <w:pPr>
        <w:rPr>
          <w:sz w:val="24"/>
          <w:szCs w:val="24"/>
        </w:rPr>
      </w:pPr>
      <w:r w:rsidRPr="00FE0DDA">
        <w:rPr>
          <w:sz w:val="24"/>
          <w:szCs w:val="24"/>
        </w:rPr>
        <w:t>There may be a requirement for clinically trained research staff to support the provision of patient care during a serious outbreak</w:t>
      </w:r>
      <w:r>
        <w:rPr>
          <w:sz w:val="24"/>
          <w:szCs w:val="24"/>
        </w:rPr>
        <w:t xml:space="preserve">. </w:t>
      </w:r>
      <w:r w:rsidRPr="00FE0DDA">
        <w:rPr>
          <w:sz w:val="24"/>
          <w:szCs w:val="24"/>
        </w:rPr>
        <w:t>All clinically qualified research staff working on hospital premises should acquaint themselves with guidance issued within their clinical service</w:t>
      </w:r>
      <w:r w:rsidR="00051778">
        <w:rPr>
          <w:sz w:val="24"/>
          <w:szCs w:val="24"/>
        </w:rPr>
        <w:t>.</w:t>
      </w:r>
    </w:p>
    <w:p w:rsidRPr="00765E0C" w:rsidR="00EE6ECC" w:rsidP="00765E0C" w:rsidRDefault="00135742">
      <w:pPr>
        <w:rPr>
          <w:b/>
          <w:sz w:val="24"/>
          <w:szCs w:val="24"/>
        </w:rPr>
      </w:pPr>
      <w:bookmarkStart w:name="_Hlk35432270" w:id="0"/>
      <w:r>
        <w:rPr>
          <w:b/>
          <w:sz w:val="24"/>
          <w:szCs w:val="24"/>
        </w:rPr>
        <w:t>Categorisation of</w:t>
      </w:r>
      <w:r w:rsidRPr="00EE6ECC" w:rsidR="00EE6ECC">
        <w:rPr>
          <w:b/>
          <w:sz w:val="24"/>
          <w:szCs w:val="24"/>
        </w:rPr>
        <w:t xml:space="preserve"> clinical research studies </w:t>
      </w:r>
      <w:bookmarkEnd w:id="0"/>
    </w:p>
    <w:p w:rsidR="00EE6ECC" w:rsidP="00EE6ECC" w:rsidRDefault="00EE6ECC">
      <w:pPr>
        <w:pStyle w:val="ListParagraph"/>
        <w:numPr>
          <w:ilvl w:val="0"/>
          <w:numId w:val="1"/>
        </w:numPr>
        <w:rPr>
          <w:sz w:val="24"/>
          <w:szCs w:val="24"/>
        </w:rPr>
      </w:pPr>
      <w:r w:rsidRPr="00EE6ECC">
        <w:rPr>
          <w:sz w:val="24"/>
          <w:szCs w:val="24"/>
        </w:rPr>
        <w:t xml:space="preserve">The Trust delivers a wide range of patient research and it is not appropriate to issue blanket rules about which studies should continue and which should be suspended. In some cases, there will be an ongoing need to ensure patient treatments continue, for example patients enrolled in chemotherapy trials. Any studies specifically intended to maximise learning from this and similar infectious disease outbreaks should of course continue. </w:t>
      </w:r>
    </w:p>
    <w:p w:rsidRPr="00EE6ECC" w:rsidR="00EE6ECC" w:rsidP="00EE6ECC" w:rsidRDefault="00EE6ECC">
      <w:pPr>
        <w:pStyle w:val="ListParagraph"/>
        <w:rPr>
          <w:sz w:val="24"/>
          <w:szCs w:val="24"/>
        </w:rPr>
      </w:pPr>
    </w:p>
    <w:p w:rsidR="00EE6ECC" w:rsidP="00EE6ECC" w:rsidRDefault="00135742">
      <w:pPr>
        <w:pStyle w:val="ListParagraph"/>
        <w:numPr>
          <w:ilvl w:val="0"/>
          <w:numId w:val="1"/>
        </w:numPr>
        <w:rPr>
          <w:sz w:val="24"/>
          <w:szCs w:val="24"/>
        </w:rPr>
      </w:pPr>
      <w:r>
        <w:rPr>
          <w:sz w:val="24"/>
          <w:szCs w:val="24"/>
        </w:rPr>
        <w:t xml:space="preserve"> Joint Research and Enterprise Services (JRES) has asked </w:t>
      </w:r>
      <w:r w:rsidR="00051778">
        <w:rPr>
          <w:sz w:val="24"/>
          <w:szCs w:val="24"/>
        </w:rPr>
        <w:t>P</w:t>
      </w:r>
      <w:r w:rsidRPr="00EE6ECC" w:rsidR="00EE6ECC">
        <w:rPr>
          <w:sz w:val="24"/>
          <w:szCs w:val="24"/>
        </w:rPr>
        <w:t xml:space="preserve">rincipal and </w:t>
      </w:r>
      <w:r w:rsidR="00051778">
        <w:rPr>
          <w:sz w:val="24"/>
          <w:szCs w:val="24"/>
        </w:rPr>
        <w:t>C</w:t>
      </w:r>
      <w:r w:rsidRPr="00EE6ECC" w:rsidR="00EE6ECC">
        <w:rPr>
          <w:sz w:val="24"/>
          <w:szCs w:val="24"/>
        </w:rPr>
        <w:t xml:space="preserve">hief </w:t>
      </w:r>
      <w:r w:rsidR="00051778">
        <w:rPr>
          <w:sz w:val="24"/>
          <w:szCs w:val="24"/>
        </w:rPr>
        <w:t>I</w:t>
      </w:r>
      <w:r w:rsidRPr="00EE6ECC" w:rsidR="00EE6ECC">
        <w:rPr>
          <w:sz w:val="24"/>
          <w:szCs w:val="24"/>
        </w:rPr>
        <w:t xml:space="preserve">nvestigators and research teams of all research studies </w:t>
      </w:r>
      <w:r w:rsidR="00EE6ECC">
        <w:rPr>
          <w:sz w:val="24"/>
          <w:szCs w:val="24"/>
        </w:rPr>
        <w:t>to review</w:t>
      </w:r>
      <w:r w:rsidRPr="00EE6ECC" w:rsidR="00EE6ECC">
        <w:rPr>
          <w:sz w:val="24"/>
          <w:szCs w:val="24"/>
        </w:rPr>
        <w:t xml:space="preserve"> the circumstances of their research </w:t>
      </w:r>
      <w:r w:rsidR="00A91CAA">
        <w:rPr>
          <w:sz w:val="24"/>
          <w:szCs w:val="24"/>
        </w:rPr>
        <w:t xml:space="preserve">and </w:t>
      </w:r>
      <w:r w:rsidRPr="00EE6ECC" w:rsidR="00EE6ECC">
        <w:rPr>
          <w:sz w:val="24"/>
          <w:szCs w:val="24"/>
        </w:rPr>
        <w:t xml:space="preserve">to </w:t>
      </w:r>
      <w:r w:rsidR="00A91CAA">
        <w:rPr>
          <w:sz w:val="24"/>
          <w:szCs w:val="24"/>
        </w:rPr>
        <w:t xml:space="preserve">make </w:t>
      </w:r>
      <w:r w:rsidR="00852A4B">
        <w:rPr>
          <w:sz w:val="24"/>
          <w:szCs w:val="24"/>
        </w:rPr>
        <w:t xml:space="preserve">a </w:t>
      </w:r>
      <w:r w:rsidRPr="00EE6ECC" w:rsidR="00EE6ECC">
        <w:rPr>
          <w:sz w:val="24"/>
          <w:szCs w:val="24"/>
        </w:rPr>
        <w:t xml:space="preserve">decision on which </w:t>
      </w:r>
      <w:r w:rsidR="00EE6ECC">
        <w:rPr>
          <w:sz w:val="24"/>
          <w:szCs w:val="24"/>
        </w:rPr>
        <w:t xml:space="preserve">category </w:t>
      </w:r>
      <w:r w:rsidR="00051778">
        <w:rPr>
          <w:sz w:val="24"/>
          <w:szCs w:val="24"/>
        </w:rPr>
        <w:t>each</w:t>
      </w:r>
      <w:r w:rsidR="00EE6ECC">
        <w:rPr>
          <w:sz w:val="24"/>
          <w:szCs w:val="24"/>
        </w:rPr>
        <w:t xml:space="preserve"> study falls into</w:t>
      </w:r>
      <w:r w:rsidRPr="00EE6ECC" w:rsidR="00EE6ECC">
        <w:rPr>
          <w:sz w:val="24"/>
          <w:szCs w:val="24"/>
        </w:rPr>
        <w:t xml:space="preserve">. </w:t>
      </w:r>
    </w:p>
    <w:p w:rsidRPr="00EE6ECC" w:rsidR="00EE6ECC" w:rsidP="00EE6ECC" w:rsidRDefault="00EE6ECC">
      <w:pPr>
        <w:pStyle w:val="ListParagraph"/>
        <w:rPr>
          <w:sz w:val="24"/>
          <w:szCs w:val="24"/>
        </w:rPr>
      </w:pPr>
    </w:p>
    <w:p w:rsidR="00EE6ECC" w:rsidP="00EE6ECC" w:rsidRDefault="00135742">
      <w:pPr>
        <w:pStyle w:val="ListParagraph"/>
        <w:numPr>
          <w:ilvl w:val="0"/>
          <w:numId w:val="1"/>
        </w:numPr>
        <w:rPr>
          <w:sz w:val="24"/>
          <w:szCs w:val="24"/>
        </w:rPr>
      </w:pPr>
      <w:r>
        <w:rPr>
          <w:sz w:val="24"/>
          <w:szCs w:val="24"/>
        </w:rPr>
        <w:t>There are f</w:t>
      </w:r>
      <w:r w:rsidR="00EE6ECC">
        <w:rPr>
          <w:sz w:val="24"/>
          <w:szCs w:val="24"/>
        </w:rPr>
        <w:t>ive categories of clinical research study, and these are contained in the below table.</w:t>
      </w:r>
    </w:p>
    <w:p w:rsidRPr="00765E0C" w:rsidR="00135742" w:rsidP="00765E0C" w:rsidRDefault="00135742">
      <w:pPr>
        <w:pStyle w:val="ListParagraph"/>
        <w:rPr>
          <w:sz w:val="24"/>
          <w:szCs w:val="24"/>
        </w:rPr>
      </w:pPr>
    </w:p>
    <w:p w:rsidRPr="00765E0C" w:rsidR="00135742" w:rsidP="00765E0C" w:rsidRDefault="00135742">
      <w:pPr>
        <w:rPr>
          <w:b/>
          <w:sz w:val="24"/>
          <w:szCs w:val="24"/>
        </w:rPr>
      </w:pPr>
      <w:r>
        <w:rPr>
          <w:b/>
          <w:sz w:val="24"/>
          <w:szCs w:val="24"/>
        </w:rPr>
        <w:t>Prioritisation of</w:t>
      </w:r>
      <w:r w:rsidRPr="00EE6ECC">
        <w:rPr>
          <w:b/>
          <w:sz w:val="24"/>
          <w:szCs w:val="24"/>
        </w:rPr>
        <w:t xml:space="preserve"> clinical research studies </w:t>
      </w:r>
    </w:p>
    <w:p w:rsidR="00135742" w:rsidP="00135742" w:rsidRDefault="00135742">
      <w:pPr>
        <w:pStyle w:val="ListParagraph"/>
        <w:numPr>
          <w:ilvl w:val="0"/>
          <w:numId w:val="1"/>
        </w:numPr>
        <w:rPr>
          <w:sz w:val="24"/>
          <w:szCs w:val="24"/>
        </w:rPr>
      </w:pPr>
      <w:r w:rsidRPr="00135742">
        <w:rPr>
          <w:sz w:val="24"/>
          <w:szCs w:val="24"/>
        </w:rPr>
        <w:t>Priority will be given to nationally-sponsored COVID-19 research studies, a key element of the Government’s overall response</w:t>
      </w:r>
      <w:r>
        <w:rPr>
          <w:sz w:val="24"/>
          <w:szCs w:val="24"/>
        </w:rPr>
        <w:t xml:space="preserve">, and after this other pandemic studies. These are level 0 studies. </w:t>
      </w:r>
    </w:p>
    <w:p w:rsidR="008529EB" w:rsidP="00765E0C" w:rsidRDefault="008529EB">
      <w:pPr>
        <w:pStyle w:val="ListParagraph"/>
        <w:rPr>
          <w:sz w:val="24"/>
          <w:szCs w:val="24"/>
        </w:rPr>
      </w:pPr>
    </w:p>
    <w:p w:rsidR="00135742" w:rsidP="008529EB" w:rsidRDefault="008529EB">
      <w:pPr>
        <w:pStyle w:val="ListParagraph"/>
        <w:numPr>
          <w:ilvl w:val="0"/>
          <w:numId w:val="1"/>
        </w:numPr>
        <w:rPr>
          <w:sz w:val="24"/>
          <w:szCs w:val="24"/>
        </w:rPr>
      </w:pPr>
      <w:r>
        <w:rPr>
          <w:sz w:val="24"/>
          <w:szCs w:val="24"/>
        </w:rPr>
        <w:t xml:space="preserve">For other studies (levels 1 to 4), the default situation is that all </w:t>
      </w:r>
      <w:r w:rsidRPr="00765E0C" w:rsidR="00135742">
        <w:rPr>
          <w:sz w:val="24"/>
          <w:szCs w:val="24"/>
        </w:rPr>
        <w:t>recruitment should be suspended and new studies should not commence</w:t>
      </w:r>
      <w:r>
        <w:rPr>
          <w:sz w:val="24"/>
          <w:szCs w:val="24"/>
        </w:rPr>
        <w:t xml:space="preserve">. The Associate Medical Director (Research) will be reviewing studies on a case by case basis and </w:t>
      </w:r>
      <w:r w:rsidR="004D669A">
        <w:rPr>
          <w:sz w:val="24"/>
          <w:szCs w:val="24"/>
        </w:rPr>
        <w:t>JRES</w:t>
      </w:r>
      <w:r>
        <w:rPr>
          <w:sz w:val="24"/>
          <w:szCs w:val="24"/>
        </w:rPr>
        <w:t xml:space="preserve"> </w:t>
      </w:r>
      <w:r w:rsidR="00CE6BD0">
        <w:rPr>
          <w:sz w:val="24"/>
          <w:szCs w:val="24"/>
        </w:rPr>
        <w:t xml:space="preserve">will </w:t>
      </w:r>
      <w:r>
        <w:rPr>
          <w:sz w:val="24"/>
          <w:szCs w:val="24"/>
        </w:rPr>
        <w:t>contact Chief and Principal Investigators with exceptions.</w:t>
      </w:r>
      <w:r w:rsidRPr="00765E0C" w:rsidR="00135742">
        <w:rPr>
          <w:sz w:val="24"/>
          <w:szCs w:val="24"/>
        </w:rPr>
        <w:t xml:space="preserve"> </w:t>
      </w:r>
    </w:p>
    <w:p w:rsidRPr="00765E0C" w:rsidR="00135742" w:rsidP="00765E0C" w:rsidRDefault="00135742">
      <w:pPr>
        <w:pStyle w:val="ListParagraph"/>
        <w:rPr>
          <w:sz w:val="24"/>
          <w:szCs w:val="24"/>
        </w:rPr>
      </w:pPr>
    </w:p>
    <w:p w:rsidR="00135742" w:rsidP="00EE6ECC" w:rsidRDefault="004D669A">
      <w:pPr>
        <w:pStyle w:val="ListParagraph"/>
        <w:numPr>
          <w:ilvl w:val="0"/>
          <w:numId w:val="1"/>
        </w:numPr>
        <w:rPr>
          <w:sz w:val="24"/>
          <w:szCs w:val="24"/>
        </w:rPr>
      </w:pPr>
      <w:r>
        <w:rPr>
          <w:sz w:val="24"/>
          <w:szCs w:val="24"/>
        </w:rPr>
        <w:t>For other studies (levels 1 to 4), the default situation is that for existing patients recruited, a</w:t>
      </w:r>
      <w:r w:rsidR="00135742">
        <w:rPr>
          <w:sz w:val="24"/>
          <w:szCs w:val="24"/>
        </w:rPr>
        <w:t>ll patient</w:t>
      </w:r>
      <w:r w:rsidR="008529EB">
        <w:rPr>
          <w:sz w:val="24"/>
          <w:szCs w:val="24"/>
        </w:rPr>
        <w:t xml:space="preserve"> follow</w:t>
      </w:r>
      <w:r>
        <w:rPr>
          <w:sz w:val="24"/>
          <w:szCs w:val="24"/>
        </w:rPr>
        <w:t>-</w:t>
      </w:r>
      <w:r w:rsidR="008529EB">
        <w:rPr>
          <w:sz w:val="24"/>
          <w:szCs w:val="24"/>
        </w:rPr>
        <w:t>up</w:t>
      </w:r>
      <w:r w:rsidR="00135742">
        <w:rPr>
          <w:sz w:val="24"/>
          <w:szCs w:val="24"/>
        </w:rPr>
        <w:t xml:space="preserve"> visits should be </w:t>
      </w:r>
      <w:r>
        <w:rPr>
          <w:sz w:val="24"/>
          <w:szCs w:val="24"/>
        </w:rPr>
        <w:t xml:space="preserve">conducted remotely. </w:t>
      </w:r>
      <w:r w:rsidRPr="004D669A">
        <w:rPr>
          <w:sz w:val="24"/>
          <w:szCs w:val="24"/>
        </w:rPr>
        <w:t xml:space="preserve">The Associate </w:t>
      </w:r>
      <w:r w:rsidRPr="004D669A">
        <w:rPr>
          <w:sz w:val="24"/>
          <w:szCs w:val="24"/>
        </w:rPr>
        <w:lastRenderedPageBreak/>
        <w:t>Medical Director (Research) will be reviewing studies on a case by case basis and</w:t>
      </w:r>
      <w:r>
        <w:rPr>
          <w:sz w:val="24"/>
          <w:szCs w:val="24"/>
        </w:rPr>
        <w:t xml:space="preserve"> JRES</w:t>
      </w:r>
      <w:r w:rsidRPr="004D669A">
        <w:rPr>
          <w:sz w:val="24"/>
          <w:szCs w:val="24"/>
        </w:rPr>
        <w:t xml:space="preserve"> will contact Chief and Principal Investigators with exceptions.</w:t>
      </w:r>
    </w:p>
    <w:p w:rsidRPr="001F0205" w:rsidR="00BA54E3" w:rsidP="001F0205" w:rsidRDefault="00BA54E3">
      <w:pPr>
        <w:pStyle w:val="ListParagraph"/>
        <w:rPr>
          <w:sz w:val="24"/>
          <w:szCs w:val="24"/>
        </w:rPr>
      </w:pPr>
    </w:p>
    <w:p w:rsidR="00BA54E3" w:rsidP="00EE6ECC" w:rsidRDefault="00BA54E3">
      <w:pPr>
        <w:pStyle w:val="ListParagraph"/>
        <w:numPr>
          <w:ilvl w:val="0"/>
          <w:numId w:val="1"/>
        </w:numPr>
        <w:rPr>
          <w:sz w:val="24"/>
          <w:szCs w:val="24"/>
        </w:rPr>
      </w:pPr>
      <w:r>
        <w:rPr>
          <w:sz w:val="24"/>
          <w:szCs w:val="24"/>
        </w:rPr>
        <w:t xml:space="preserve">For studies which are levels 1 and 2, Principal Investigators should contact the sponsor to determine and agree minimum safety requirements. </w:t>
      </w:r>
    </w:p>
    <w:p w:rsidR="004D669A" w:rsidP="00765E0C" w:rsidRDefault="004D669A">
      <w:pPr>
        <w:pStyle w:val="ListParagraph"/>
        <w:rPr>
          <w:sz w:val="24"/>
          <w:szCs w:val="24"/>
        </w:rPr>
      </w:pPr>
    </w:p>
    <w:p w:rsidRPr="00765E0C" w:rsidR="00765E0C" w:rsidP="00EE6ECC" w:rsidRDefault="004D669A">
      <w:pPr>
        <w:pStyle w:val="ListParagraph"/>
        <w:numPr>
          <w:ilvl w:val="0"/>
          <w:numId w:val="1"/>
        </w:numPr>
        <w:rPr>
          <w:sz w:val="24"/>
          <w:szCs w:val="24"/>
        </w:rPr>
      </w:pPr>
      <w:r>
        <w:rPr>
          <w:sz w:val="24"/>
          <w:szCs w:val="24"/>
        </w:rPr>
        <w:t>Specific details for each level of study are in the below table, and should be followed with immediate effect.</w:t>
      </w:r>
    </w:p>
    <w:p w:rsidR="00DB72EE" w:rsidP="00EE6ECC" w:rsidRDefault="00EE6ECC">
      <w:pPr>
        <w:rPr>
          <w:b/>
          <w:sz w:val="24"/>
          <w:szCs w:val="24"/>
        </w:rPr>
      </w:pPr>
      <w:r w:rsidRPr="00FA4E0E">
        <w:rPr>
          <w:b/>
          <w:sz w:val="24"/>
          <w:szCs w:val="24"/>
        </w:rPr>
        <w:t>Categories of study</w:t>
      </w:r>
      <w:r w:rsidR="004D669A">
        <w:rPr>
          <w:b/>
          <w:sz w:val="24"/>
          <w:szCs w:val="24"/>
        </w:rPr>
        <w:t xml:space="preserve"> and</w:t>
      </w:r>
      <w:r w:rsidRPr="00FA4E0E">
        <w:rPr>
          <w:b/>
          <w:sz w:val="24"/>
          <w:szCs w:val="24"/>
        </w:rPr>
        <w:t xml:space="preserve"> </w:t>
      </w:r>
      <w:r w:rsidRPr="00FA4E0E" w:rsidR="00FA4E0E">
        <w:rPr>
          <w:b/>
          <w:sz w:val="24"/>
          <w:szCs w:val="24"/>
        </w:rPr>
        <w:t xml:space="preserve">current actions </w:t>
      </w:r>
    </w:p>
    <w:tbl>
      <w:tblPr>
        <w:tblStyle w:val="TableGrid"/>
        <w:tblW w:w="9351" w:type="dxa"/>
        <w:tblLook w:val="04A0" w:firstRow="1" w:lastRow="0" w:firstColumn="1" w:lastColumn="0" w:noHBand="0" w:noVBand="1"/>
      </w:tblPr>
      <w:tblGrid>
        <w:gridCol w:w="689"/>
        <w:gridCol w:w="3134"/>
        <w:gridCol w:w="5528"/>
      </w:tblGrid>
      <w:tr w:rsidR="00765E0C" w:rsidTr="00765E0C">
        <w:tc>
          <w:tcPr>
            <w:tcW w:w="689" w:type="dxa"/>
            <w:shd w:val="clear" w:color="auto" w:fill="C9C9C9" w:themeFill="accent3" w:themeFillTint="99"/>
          </w:tcPr>
          <w:p w:rsidRPr="008E0C2B" w:rsidR="00765E0C" w:rsidP="008E0C2B" w:rsidRDefault="00765E0C">
            <w:pPr>
              <w:rPr>
                <w:b/>
              </w:rPr>
            </w:pPr>
            <w:r w:rsidRPr="008E0C2B">
              <w:rPr>
                <w:b/>
              </w:rPr>
              <w:t>Level</w:t>
            </w:r>
          </w:p>
        </w:tc>
        <w:tc>
          <w:tcPr>
            <w:tcW w:w="3134" w:type="dxa"/>
            <w:shd w:val="clear" w:color="auto" w:fill="C9C9C9" w:themeFill="accent3" w:themeFillTint="99"/>
          </w:tcPr>
          <w:p w:rsidRPr="008E0C2B" w:rsidR="00765E0C" w:rsidP="008E0C2B" w:rsidRDefault="00765E0C">
            <w:pPr>
              <w:rPr>
                <w:b/>
              </w:rPr>
            </w:pPr>
            <w:r w:rsidRPr="008E0C2B">
              <w:rPr>
                <w:b/>
              </w:rPr>
              <w:t xml:space="preserve">Description </w:t>
            </w:r>
          </w:p>
        </w:tc>
        <w:tc>
          <w:tcPr>
            <w:tcW w:w="5528" w:type="dxa"/>
            <w:shd w:val="clear" w:color="auto" w:fill="C9C9C9" w:themeFill="accent3" w:themeFillTint="99"/>
          </w:tcPr>
          <w:p w:rsidRPr="008E0C2B" w:rsidR="00765E0C" w:rsidP="008E0C2B" w:rsidRDefault="00765E0C">
            <w:pPr>
              <w:rPr>
                <w:b/>
              </w:rPr>
            </w:pPr>
            <w:r w:rsidRPr="008E0C2B">
              <w:rPr>
                <w:b/>
              </w:rPr>
              <w:t xml:space="preserve">Current action </w:t>
            </w:r>
          </w:p>
        </w:tc>
      </w:tr>
      <w:tr w:rsidR="00765E0C" w:rsidTr="00765E0C">
        <w:tc>
          <w:tcPr>
            <w:tcW w:w="689" w:type="dxa"/>
          </w:tcPr>
          <w:p w:rsidR="00765E0C" w:rsidP="00EE6ECC" w:rsidRDefault="00765E0C">
            <w:pPr>
              <w:rPr>
                <w:b/>
                <w:sz w:val="24"/>
                <w:szCs w:val="24"/>
              </w:rPr>
            </w:pPr>
            <w:r>
              <w:rPr>
                <w:b/>
                <w:sz w:val="24"/>
                <w:szCs w:val="24"/>
              </w:rPr>
              <w:t>0</w:t>
            </w:r>
          </w:p>
        </w:tc>
        <w:tc>
          <w:tcPr>
            <w:tcW w:w="3134" w:type="dxa"/>
          </w:tcPr>
          <w:p w:rsidR="00765E0C" w:rsidP="00EE6ECC" w:rsidRDefault="00765E0C">
            <w:pPr>
              <w:rPr>
                <w:sz w:val="24"/>
                <w:szCs w:val="24"/>
              </w:rPr>
            </w:pPr>
            <w:r w:rsidRPr="008E0C2B">
              <w:rPr>
                <w:sz w:val="24"/>
                <w:szCs w:val="24"/>
              </w:rPr>
              <w:t>Pandemic studies</w:t>
            </w:r>
            <w:r>
              <w:rPr>
                <w:sz w:val="24"/>
                <w:szCs w:val="24"/>
              </w:rPr>
              <w:t xml:space="preserve"> </w:t>
            </w:r>
          </w:p>
          <w:p w:rsidR="00765E0C" w:rsidP="00EE6ECC" w:rsidRDefault="00765E0C">
            <w:pPr>
              <w:rPr>
                <w:sz w:val="24"/>
                <w:szCs w:val="24"/>
              </w:rPr>
            </w:pPr>
          </w:p>
          <w:p w:rsidRPr="008E0C2B" w:rsidR="00765E0C" w:rsidP="00EE6ECC" w:rsidRDefault="00765E0C">
            <w:pPr>
              <w:rPr>
                <w:sz w:val="24"/>
                <w:szCs w:val="24"/>
              </w:rPr>
            </w:pPr>
            <w:r>
              <w:rPr>
                <w:sz w:val="24"/>
                <w:szCs w:val="24"/>
              </w:rPr>
              <w:t xml:space="preserve">Studies </w:t>
            </w:r>
            <w:r w:rsidRPr="008E0C2B">
              <w:rPr>
                <w:sz w:val="24"/>
                <w:szCs w:val="24"/>
              </w:rPr>
              <w:t xml:space="preserve">highlighted by the Clinical Research Network as urgent health studies </w:t>
            </w:r>
          </w:p>
        </w:tc>
        <w:tc>
          <w:tcPr>
            <w:tcW w:w="5528" w:type="dxa"/>
          </w:tcPr>
          <w:p w:rsidR="00765E0C" w:rsidP="00EE6ECC" w:rsidRDefault="00765E0C">
            <w:pPr>
              <w:rPr>
                <w:b/>
                <w:sz w:val="24"/>
                <w:szCs w:val="24"/>
              </w:rPr>
            </w:pPr>
            <w:r>
              <w:rPr>
                <w:b/>
                <w:sz w:val="24"/>
                <w:szCs w:val="24"/>
              </w:rPr>
              <w:t>Continue as usual</w:t>
            </w:r>
          </w:p>
          <w:p w:rsidR="00765E0C" w:rsidP="00EE6ECC" w:rsidRDefault="00765E0C">
            <w:pPr>
              <w:rPr>
                <w:b/>
                <w:sz w:val="24"/>
                <w:szCs w:val="24"/>
              </w:rPr>
            </w:pPr>
          </w:p>
          <w:p w:rsidR="00765E0C" w:rsidP="00EE6ECC" w:rsidRDefault="00765E0C">
            <w:pPr>
              <w:rPr>
                <w:b/>
                <w:sz w:val="24"/>
                <w:szCs w:val="24"/>
              </w:rPr>
            </w:pPr>
            <w:r>
              <w:rPr>
                <w:b/>
                <w:sz w:val="24"/>
                <w:szCs w:val="24"/>
              </w:rPr>
              <w:t xml:space="preserve">Follow Trust COVID 19 guidance on patient and visitor management </w:t>
            </w:r>
          </w:p>
        </w:tc>
      </w:tr>
      <w:tr w:rsidR="00765E0C" w:rsidTr="00765E0C">
        <w:tc>
          <w:tcPr>
            <w:tcW w:w="689" w:type="dxa"/>
          </w:tcPr>
          <w:p w:rsidR="00765E0C" w:rsidP="00EE6ECC" w:rsidRDefault="00765E0C">
            <w:pPr>
              <w:rPr>
                <w:b/>
                <w:sz w:val="24"/>
                <w:szCs w:val="24"/>
              </w:rPr>
            </w:pPr>
            <w:r>
              <w:rPr>
                <w:b/>
                <w:sz w:val="24"/>
                <w:szCs w:val="24"/>
              </w:rPr>
              <w:t>1</w:t>
            </w:r>
          </w:p>
        </w:tc>
        <w:tc>
          <w:tcPr>
            <w:tcW w:w="3134" w:type="dxa"/>
          </w:tcPr>
          <w:p w:rsidR="00765E0C" w:rsidP="00EE6ECC" w:rsidRDefault="00765E0C">
            <w:pPr>
              <w:rPr>
                <w:sz w:val="24"/>
                <w:szCs w:val="24"/>
              </w:rPr>
            </w:pPr>
            <w:r w:rsidRPr="008E0C2B">
              <w:rPr>
                <w:sz w:val="24"/>
                <w:szCs w:val="24"/>
              </w:rPr>
              <w:t>Studies delivering critical care for patients</w:t>
            </w:r>
          </w:p>
          <w:p w:rsidR="00765E0C" w:rsidP="00EE6ECC" w:rsidRDefault="00765E0C">
            <w:pPr>
              <w:rPr>
                <w:sz w:val="24"/>
                <w:szCs w:val="24"/>
              </w:rPr>
            </w:pPr>
          </w:p>
          <w:p w:rsidR="00765E0C" w:rsidP="00EE6ECC" w:rsidRDefault="00765E0C">
            <w:pPr>
              <w:rPr>
                <w:sz w:val="24"/>
                <w:szCs w:val="24"/>
              </w:rPr>
            </w:pPr>
            <w:r>
              <w:rPr>
                <w:sz w:val="24"/>
                <w:szCs w:val="24"/>
              </w:rPr>
              <w:t>Clinical trials of investigational medicinal products (</w:t>
            </w:r>
            <w:proofErr w:type="spellStart"/>
            <w:r>
              <w:rPr>
                <w:sz w:val="24"/>
                <w:szCs w:val="24"/>
              </w:rPr>
              <w:t>cTIMPs</w:t>
            </w:r>
            <w:proofErr w:type="spellEnd"/>
            <w:r>
              <w:rPr>
                <w:sz w:val="24"/>
                <w:szCs w:val="24"/>
              </w:rPr>
              <w:t>), where not seeing the patient would create a risk or safety risk for the patients</w:t>
            </w:r>
          </w:p>
          <w:p w:rsidR="00765E0C" w:rsidP="00EE6ECC" w:rsidRDefault="00765E0C">
            <w:pPr>
              <w:rPr>
                <w:sz w:val="24"/>
                <w:szCs w:val="24"/>
              </w:rPr>
            </w:pPr>
          </w:p>
          <w:p w:rsidR="00765E0C" w:rsidP="008E0C2B" w:rsidRDefault="00765E0C">
            <w:pPr>
              <w:rPr>
                <w:b/>
                <w:sz w:val="24"/>
                <w:szCs w:val="24"/>
              </w:rPr>
            </w:pPr>
            <w:r>
              <w:rPr>
                <w:sz w:val="24"/>
                <w:szCs w:val="24"/>
              </w:rPr>
              <w:t>Studies delivering cancer treatment</w:t>
            </w:r>
          </w:p>
        </w:tc>
        <w:tc>
          <w:tcPr>
            <w:tcW w:w="5528" w:type="dxa"/>
          </w:tcPr>
          <w:p w:rsidR="00765E0C" w:rsidP="00EE6ECC" w:rsidRDefault="00765E0C">
            <w:pPr>
              <w:rPr>
                <w:b/>
                <w:sz w:val="24"/>
                <w:szCs w:val="24"/>
              </w:rPr>
            </w:pPr>
            <w:r w:rsidRPr="001978DD">
              <w:rPr>
                <w:b/>
                <w:sz w:val="24"/>
                <w:szCs w:val="24"/>
              </w:rPr>
              <w:t>Recruitment should be suspended and no new studies should commence unless there is specific approval to continue recruitment/start the study from JRES.</w:t>
            </w:r>
          </w:p>
          <w:p w:rsidR="009D6D29" w:rsidP="00EE6ECC" w:rsidRDefault="009D6D29">
            <w:pPr>
              <w:rPr>
                <w:b/>
                <w:sz w:val="24"/>
                <w:szCs w:val="24"/>
              </w:rPr>
            </w:pPr>
          </w:p>
          <w:p w:rsidR="00765E0C" w:rsidP="00EE6ECC" w:rsidRDefault="00765E0C">
            <w:pPr>
              <w:rPr>
                <w:b/>
                <w:sz w:val="24"/>
                <w:szCs w:val="24"/>
              </w:rPr>
            </w:pPr>
            <w:r w:rsidRPr="004D669A">
              <w:rPr>
                <w:b/>
                <w:sz w:val="24"/>
                <w:szCs w:val="24"/>
              </w:rPr>
              <w:t xml:space="preserve">Continue with studies for patients already recruited, but follow up visits should be carried out remotely unless </w:t>
            </w:r>
            <w:r w:rsidR="009D6D29">
              <w:rPr>
                <w:b/>
                <w:sz w:val="24"/>
                <w:szCs w:val="24"/>
              </w:rPr>
              <w:t xml:space="preserve">either </w:t>
            </w:r>
            <w:r w:rsidR="00CE6BD0">
              <w:rPr>
                <w:b/>
                <w:sz w:val="24"/>
                <w:szCs w:val="24"/>
              </w:rPr>
              <w:t xml:space="preserve">1. </w:t>
            </w:r>
            <w:proofErr w:type="gramStart"/>
            <w:r w:rsidR="009D6D29">
              <w:rPr>
                <w:b/>
                <w:sz w:val="24"/>
                <w:szCs w:val="24"/>
              </w:rPr>
              <w:t>an</w:t>
            </w:r>
            <w:proofErr w:type="gramEnd"/>
            <w:r w:rsidR="009D6D29">
              <w:rPr>
                <w:b/>
                <w:sz w:val="24"/>
                <w:szCs w:val="24"/>
              </w:rPr>
              <w:t xml:space="preserve"> on-site visit is necessary to satisfy the minimum safety requirements of the sponsor (Principal Investigators should </w:t>
            </w:r>
            <w:r w:rsidR="00BA54E3">
              <w:rPr>
                <w:b/>
                <w:sz w:val="24"/>
                <w:szCs w:val="24"/>
              </w:rPr>
              <w:t>contact the sponsor to determine and agree this</w:t>
            </w:r>
            <w:r w:rsidR="009D6D29">
              <w:rPr>
                <w:b/>
                <w:sz w:val="24"/>
                <w:szCs w:val="24"/>
              </w:rPr>
              <w:t xml:space="preserve">), </w:t>
            </w:r>
            <w:r w:rsidRPr="001F0205" w:rsidR="009D6D29">
              <w:rPr>
                <w:b/>
                <w:sz w:val="24"/>
                <w:szCs w:val="24"/>
                <w:u w:val="single"/>
              </w:rPr>
              <w:t>or</w:t>
            </w:r>
            <w:r w:rsidR="009D6D29">
              <w:rPr>
                <w:b/>
                <w:sz w:val="24"/>
                <w:szCs w:val="24"/>
              </w:rPr>
              <w:t xml:space="preserve"> </w:t>
            </w:r>
            <w:r w:rsidR="00CE6BD0">
              <w:rPr>
                <w:b/>
                <w:sz w:val="24"/>
                <w:szCs w:val="24"/>
              </w:rPr>
              <w:t xml:space="preserve">2. </w:t>
            </w:r>
            <w:proofErr w:type="gramStart"/>
            <w:r w:rsidR="00CE6BD0">
              <w:rPr>
                <w:b/>
                <w:sz w:val="24"/>
                <w:szCs w:val="24"/>
              </w:rPr>
              <w:t>if</w:t>
            </w:r>
            <w:proofErr w:type="gramEnd"/>
            <w:r w:rsidR="009D6D29">
              <w:rPr>
                <w:b/>
                <w:sz w:val="24"/>
                <w:szCs w:val="24"/>
              </w:rPr>
              <w:t xml:space="preserve"> </w:t>
            </w:r>
            <w:r w:rsidRPr="004D669A">
              <w:rPr>
                <w:b/>
                <w:sz w:val="24"/>
                <w:szCs w:val="24"/>
              </w:rPr>
              <w:t>there is specific approval to continue these</w:t>
            </w:r>
            <w:r>
              <w:rPr>
                <w:b/>
                <w:sz w:val="24"/>
                <w:szCs w:val="24"/>
              </w:rPr>
              <w:t xml:space="preserve"> from JRES</w:t>
            </w:r>
            <w:r w:rsidR="00CE6BD0">
              <w:rPr>
                <w:b/>
                <w:sz w:val="24"/>
                <w:szCs w:val="24"/>
              </w:rPr>
              <w:t xml:space="preserve"> (assume no approval unless contacted)</w:t>
            </w:r>
            <w:r w:rsidRPr="004D669A">
              <w:rPr>
                <w:b/>
                <w:sz w:val="24"/>
                <w:szCs w:val="24"/>
              </w:rPr>
              <w:t>.</w:t>
            </w:r>
          </w:p>
          <w:p w:rsidR="00765E0C" w:rsidP="00EE6ECC" w:rsidRDefault="00765E0C">
            <w:pPr>
              <w:rPr>
                <w:b/>
                <w:sz w:val="24"/>
                <w:szCs w:val="24"/>
              </w:rPr>
            </w:pPr>
          </w:p>
          <w:p w:rsidR="00765E0C" w:rsidP="00EE6ECC" w:rsidRDefault="00765E0C">
            <w:pPr>
              <w:rPr>
                <w:b/>
                <w:sz w:val="24"/>
                <w:szCs w:val="24"/>
              </w:rPr>
            </w:pPr>
            <w:r w:rsidRPr="00706CCD">
              <w:rPr>
                <w:b/>
                <w:sz w:val="24"/>
                <w:szCs w:val="24"/>
              </w:rPr>
              <w:t xml:space="preserve">Follow Trust </w:t>
            </w:r>
            <w:r>
              <w:rPr>
                <w:b/>
                <w:sz w:val="24"/>
                <w:szCs w:val="24"/>
              </w:rPr>
              <w:t>COVID 19 guidance</w:t>
            </w:r>
            <w:r w:rsidRPr="00706CCD">
              <w:rPr>
                <w:b/>
                <w:sz w:val="24"/>
                <w:szCs w:val="24"/>
              </w:rPr>
              <w:t xml:space="preserve"> on patient </w:t>
            </w:r>
            <w:r>
              <w:rPr>
                <w:b/>
                <w:sz w:val="24"/>
                <w:szCs w:val="24"/>
              </w:rPr>
              <w:t xml:space="preserve">and visitor </w:t>
            </w:r>
            <w:r w:rsidRPr="00706CCD">
              <w:rPr>
                <w:b/>
                <w:sz w:val="24"/>
                <w:szCs w:val="24"/>
              </w:rPr>
              <w:t>management</w:t>
            </w:r>
          </w:p>
        </w:tc>
      </w:tr>
      <w:tr w:rsidR="00765E0C" w:rsidTr="00765E0C">
        <w:tc>
          <w:tcPr>
            <w:tcW w:w="689" w:type="dxa"/>
          </w:tcPr>
          <w:p w:rsidR="00765E0C" w:rsidP="00EE6ECC" w:rsidRDefault="00765E0C">
            <w:pPr>
              <w:rPr>
                <w:b/>
                <w:sz w:val="24"/>
                <w:szCs w:val="24"/>
              </w:rPr>
            </w:pPr>
            <w:r>
              <w:rPr>
                <w:b/>
                <w:sz w:val="24"/>
                <w:szCs w:val="24"/>
              </w:rPr>
              <w:t>2</w:t>
            </w:r>
          </w:p>
        </w:tc>
        <w:tc>
          <w:tcPr>
            <w:tcW w:w="3134" w:type="dxa"/>
          </w:tcPr>
          <w:p w:rsidRPr="008E0C2B" w:rsidR="00765E0C" w:rsidP="00EE6ECC" w:rsidRDefault="00765E0C">
            <w:pPr>
              <w:rPr>
                <w:sz w:val="24"/>
                <w:szCs w:val="24"/>
              </w:rPr>
            </w:pPr>
            <w:r w:rsidRPr="008E0C2B">
              <w:rPr>
                <w:sz w:val="24"/>
                <w:szCs w:val="24"/>
              </w:rPr>
              <w:t>Studies where patient care could be compromised by not seeing the patient but this does not pose a risk to patient safety</w:t>
            </w:r>
          </w:p>
        </w:tc>
        <w:tc>
          <w:tcPr>
            <w:tcW w:w="5528" w:type="dxa"/>
          </w:tcPr>
          <w:p w:rsidRPr="00706CCD" w:rsidR="00765E0C" w:rsidP="00706CCD" w:rsidRDefault="00765E0C">
            <w:pPr>
              <w:rPr>
                <w:b/>
                <w:sz w:val="24"/>
                <w:szCs w:val="24"/>
              </w:rPr>
            </w:pPr>
            <w:r>
              <w:rPr>
                <w:b/>
                <w:sz w:val="24"/>
                <w:szCs w:val="24"/>
              </w:rPr>
              <w:t>Recruitment should be suspended and no new studies should commence unless there is specific approval to continue recruitment/start the study from JRES.</w:t>
            </w:r>
            <w:bookmarkStart w:name="_GoBack" w:id="1"/>
            <w:bookmarkEnd w:id="1"/>
          </w:p>
          <w:p w:rsidRPr="00706CCD" w:rsidR="00765E0C" w:rsidP="00706CCD" w:rsidRDefault="00765E0C">
            <w:pPr>
              <w:rPr>
                <w:b/>
                <w:sz w:val="24"/>
                <w:szCs w:val="24"/>
              </w:rPr>
            </w:pPr>
          </w:p>
          <w:p w:rsidR="00CE6BD0" w:rsidP="00CE6BD0" w:rsidRDefault="00CE6BD0">
            <w:pPr>
              <w:rPr>
                <w:b/>
                <w:sz w:val="24"/>
                <w:szCs w:val="24"/>
              </w:rPr>
            </w:pPr>
            <w:r w:rsidRPr="004D669A">
              <w:rPr>
                <w:b/>
                <w:sz w:val="24"/>
                <w:szCs w:val="24"/>
              </w:rPr>
              <w:t xml:space="preserve">Continue with studies for patients already recruited, but follow up visits should be carried out remotely unless </w:t>
            </w:r>
            <w:r>
              <w:rPr>
                <w:b/>
                <w:sz w:val="24"/>
                <w:szCs w:val="24"/>
              </w:rPr>
              <w:t xml:space="preserve">either 1. </w:t>
            </w:r>
            <w:proofErr w:type="gramStart"/>
            <w:r>
              <w:rPr>
                <w:b/>
                <w:sz w:val="24"/>
                <w:szCs w:val="24"/>
              </w:rPr>
              <w:t>an</w:t>
            </w:r>
            <w:proofErr w:type="gramEnd"/>
            <w:r>
              <w:rPr>
                <w:b/>
                <w:sz w:val="24"/>
                <w:szCs w:val="24"/>
              </w:rPr>
              <w:t xml:space="preserve"> on-site visit is necessary to satisfy the minimum safety requirements of the sponsor (Principal Investigators should contact the sponsor to determine and agree this), </w:t>
            </w:r>
            <w:r w:rsidRPr="001F0205">
              <w:rPr>
                <w:b/>
                <w:sz w:val="24"/>
                <w:szCs w:val="24"/>
                <w:u w:val="single"/>
              </w:rPr>
              <w:t>or</w:t>
            </w:r>
            <w:r>
              <w:rPr>
                <w:b/>
                <w:sz w:val="24"/>
                <w:szCs w:val="24"/>
              </w:rPr>
              <w:t xml:space="preserve"> 2. </w:t>
            </w:r>
            <w:proofErr w:type="gramStart"/>
            <w:r>
              <w:rPr>
                <w:b/>
                <w:sz w:val="24"/>
                <w:szCs w:val="24"/>
              </w:rPr>
              <w:t>if</w:t>
            </w:r>
            <w:proofErr w:type="gramEnd"/>
            <w:r>
              <w:rPr>
                <w:b/>
                <w:sz w:val="24"/>
                <w:szCs w:val="24"/>
              </w:rPr>
              <w:t xml:space="preserve"> </w:t>
            </w:r>
            <w:r w:rsidRPr="004D669A">
              <w:rPr>
                <w:b/>
                <w:sz w:val="24"/>
                <w:szCs w:val="24"/>
              </w:rPr>
              <w:t>there is specific approval to continue these</w:t>
            </w:r>
            <w:r>
              <w:rPr>
                <w:b/>
                <w:sz w:val="24"/>
                <w:szCs w:val="24"/>
              </w:rPr>
              <w:t xml:space="preserve"> from JRES (assume no approval unless contacted)</w:t>
            </w:r>
            <w:r w:rsidRPr="004D669A">
              <w:rPr>
                <w:b/>
                <w:sz w:val="24"/>
                <w:szCs w:val="24"/>
              </w:rPr>
              <w:t>.</w:t>
            </w:r>
          </w:p>
          <w:p w:rsidR="00765E0C" w:rsidP="00706CCD" w:rsidRDefault="00765E0C">
            <w:pPr>
              <w:rPr>
                <w:b/>
                <w:sz w:val="24"/>
                <w:szCs w:val="24"/>
              </w:rPr>
            </w:pPr>
          </w:p>
          <w:p w:rsidR="00765E0C" w:rsidP="00706CCD" w:rsidRDefault="00765E0C">
            <w:pPr>
              <w:rPr>
                <w:b/>
                <w:sz w:val="24"/>
                <w:szCs w:val="24"/>
              </w:rPr>
            </w:pPr>
            <w:r w:rsidRPr="00706CCD">
              <w:rPr>
                <w:b/>
                <w:sz w:val="24"/>
                <w:szCs w:val="24"/>
              </w:rPr>
              <w:lastRenderedPageBreak/>
              <w:t xml:space="preserve">Follow Trust </w:t>
            </w:r>
            <w:r>
              <w:rPr>
                <w:b/>
                <w:sz w:val="24"/>
                <w:szCs w:val="24"/>
              </w:rPr>
              <w:t>COVID 19 guidance</w:t>
            </w:r>
            <w:r w:rsidRPr="00706CCD">
              <w:rPr>
                <w:b/>
                <w:sz w:val="24"/>
                <w:szCs w:val="24"/>
              </w:rPr>
              <w:t xml:space="preserve"> on patient </w:t>
            </w:r>
            <w:r>
              <w:rPr>
                <w:b/>
                <w:sz w:val="24"/>
                <w:szCs w:val="24"/>
              </w:rPr>
              <w:t xml:space="preserve">and visitor </w:t>
            </w:r>
            <w:r w:rsidRPr="00706CCD">
              <w:rPr>
                <w:b/>
                <w:sz w:val="24"/>
                <w:szCs w:val="24"/>
              </w:rPr>
              <w:t>management</w:t>
            </w:r>
          </w:p>
        </w:tc>
      </w:tr>
      <w:tr w:rsidR="00765E0C" w:rsidTr="00765E0C">
        <w:tc>
          <w:tcPr>
            <w:tcW w:w="689" w:type="dxa"/>
          </w:tcPr>
          <w:p w:rsidR="00765E0C" w:rsidP="00EE6ECC" w:rsidRDefault="00765E0C">
            <w:pPr>
              <w:rPr>
                <w:b/>
                <w:sz w:val="24"/>
                <w:szCs w:val="24"/>
              </w:rPr>
            </w:pPr>
            <w:r>
              <w:rPr>
                <w:b/>
                <w:sz w:val="24"/>
                <w:szCs w:val="24"/>
              </w:rPr>
              <w:lastRenderedPageBreak/>
              <w:t>3</w:t>
            </w:r>
          </w:p>
        </w:tc>
        <w:tc>
          <w:tcPr>
            <w:tcW w:w="3134" w:type="dxa"/>
          </w:tcPr>
          <w:p w:rsidRPr="008E0C2B" w:rsidR="00765E0C" w:rsidP="00EE6ECC" w:rsidRDefault="00765E0C">
            <w:pPr>
              <w:rPr>
                <w:sz w:val="24"/>
                <w:szCs w:val="24"/>
              </w:rPr>
            </w:pPr>
            <w:r w:rsidRPr="008E0C2B">
              <w:rPr>
                <w:sz w:val="24"/>
                <w:szCs w:val="24"/>
              </w:rPr>
              <w:t>Studies that involve patient care but where patient care is not compromised if the study is suspended</w:t>
            </w:r>
          </w:p>
        </w:tc>
        <w:tc>
          <w:tcPr>
            <w:tcW w:w="5528" w:type="dxa"/>
          </w:tcPr>
          <w:p w:rsidR="00765E0C" w:rsidP="00EE6ECC" w:rsidRDefault="00765E0C">
            <w:pPr>
              <w:rPr>
                <w:b/>
                <w:sz w:val="24"/>
                <w:szCs w:val="24"/>
              </w:rPr>
            </w:pPr>
            <w:r>
              <w:rPr>
                <w:b/>
                <w:sz w:val="24"/>
                <w:szCs w:val="24"/>
              </w:rPr>
              <w:t>Recruitment should be suspended and no new studies should commence.</w:t>
            </w:r>
          </w:p>
          <w:p w:rsidR="00765E0C" w:rsidP="00EE6ECC" w:rsidRDefault="00765E0C">
            <w:pPr>
              <w:rPr>
                <w:b/>
                <w:sz w:val="24"/>
                <w:szCs w:val="24"/>
              </w:rPr>
            </w:pPr>
          </w:p>
          <w:p w:rsidR="00765E0C" w:rsidP="00EE6ECC" w:rsidRDefault="00765E0C">
            <w:pPr>
              <w:rPr>
                <w:b/>
                <w:sz w:val="24"/>
                <w:szCs w:val="24"/>
              </w:rPr>
            </w:pPr>
            <w:r w:rsidRPr="00706CCD">
              <w:rPr>
                <w:b/>
                <w:sz w:val="24"/>
                <w:szCs w:val="24"/>
              </w:rPr>
              <w:t xml:space="preserve">For patients already recruited, </w:t>
            </w:r>
            <w:r>
              <w:rPr>
                <w:b/>
                <w:sz w:val="24"/>
                <w:szCs w:val="24"/>
              </w:rPr>
              <w:t xml:space="preserve">all </w:t>
            </w:r>
            <w:r w:rsidRPr="00706CCD">
              <w:rPr>
                <w:b/>
                <w:sz w:val="24"/>
                <w:szCs w:val="24"/>
              </w:rPr>
              <w:t xml:space="preserve">patient visits should only be conducted </w:t>
            </w:r>
            <w:r>
              <w:rPr>
                <w:b/>
                <w:sz w:val="24"/>
                <w:szCs w:val="24"/>
              </w:rPr>
              <w:t xml:space="preserve">remotely. </w:t>
            </w:r>
          </w:p>
        </w:tc>
      </w:tr>
      <w:tr w:rsidR="00765E0C" w:rsidTr="00765E0C">
        <w:tc>
          <w:tcPr>
            <w:tcW w:w="689" w:type="dxa"/>
          </w:tcPr>
          <w:p w:rsidR="00765E0C" w:rsidP="00EE6ECC" w:rsidRDefault="00765E0C">
            <w:pPr>
              <w:rPr>
                <w:b/>
                <w:sz w:val="24"/>
                <w:szCs w:val="24"/>
              </w:rPr>
            </w:pPr>
            <w:r>
              <w:rPr>
                <w:b/>
                <w:sz w:val="24"/>
                <w:szCs w:val="24"/>
              </w:rPr>
              <w:t>4</w:t>
            </w:r>
          </w:p>
        </w:tc>
        <w:tc>
          <w:tcPr>
            <w:tcW w:w="3134" w:type="dxa"/>
          </w:tcPr>
          <w:p w:rsidRPr="008E0C2B" w:rsidR="00765E0C" w:rsidP="00EE6ECC" w:rsidRDefault="00765E0C">
            <w:pPr>
              <w:rPr>
                <w:sz w:val="24"/>
                <w:szCs w:val="24"/>
              </w:rPr>
            </w:pPr>
            <w:r w:rsidRPr="008E0C2B">
              <w:rPr>
                <w:sz w:val="24"/>
                <w:szCs w:val="24"/>
              </w:rPr>
              <w:t xml:space="preserve">Studies that do not provide direct patient care </w:t>
            </w:r>
          </w:p>
        </w:tc>
        <w:tc>
          <w:tcPr>
            <w:tcW w:w="5528" w:type="dxa"/>
          </w:tcPr>
          <w:p w:rsidR="00765E0C" w:rsidP="00EE6ECC" w:rsidRDefault="00765E0C">
            <w:pPr>
              <w:rPr>
                <w:b/>
                <w:sz w:val="24"/>
                <w:szCs w:val="24"/>
              </w:rPr>
            </w:pPr>
            <w:r>
              <w:rPr>
                <w:b/>
                <w:sz w:val="24"/>
                <w:szCs w:val="24"/>
              </w:rPr>
              <w:t xml:space="preserve">Recruitment should be suspended and no new studies should commence. </w:t>
            </w:r>
          </w:p>
          <w:p w:rsidR="00765E0C" w:rsidP="00EE6ECC" w:rsidRDefault="00765E0C">
            <w:pPr>
              <w:rPr>
                <w:b/>
                <w:sz w:val="24"/>
                <w:szCs w:val="24"/>
              </w:rPr>
            </w:pPr>
          </w:p>
          <w:p w:rsidR="00765E0C" w:rsidP="00EE6ECC" w:rsidRDefault="00765E0C">
            <w:pPr>
              <w:rPr>
                <w:b/>
                <w:sz w:val="24"/>
                <w:szCs w:val="24"/>
              </w:rPr>
            </w:pPr>
            <w:r>
              <w:rPr>
                <w:b/>
                <w:sz w:val="24"/>
                <w:szCs w:val="24"/>
              </w:rPr>
              <w:t xml:space="preserve">For patients already recruited, all patient visits should only be conducted remotely. </w:t>
            </w:r>
          </w:p>
        </w:tc>
      </w:tr>
    </w:tbl>
    <w:p w:rsidR="00FA4E0E" w:rsidP="00EE6ECC" w:rsidRDefault="00FA4E0E">
      <w:pPr>
        <w:rPr>
          <w:b/>
          <w:sz w:val="24"/>
          <w:szCs w:val="24"/>
        </w:rPr>
      </w:pPr>
    </w:p>
    <w:p w:rsidR="00FA4E0E" w:rsidP="00EE6ECC" w:rsidRDefault="00FA4E0E">
      <w:pPr>
        <w:rPr>
          <w:b/>
          <w:sz w:val="24"/>
          <w:szCs w:val="24"/>
        </w:rPr>
      </w:pPr>
    </w:p>
    <w:p w:rsidRPr="00FA4E0E" w:rsidR="00FA4E0E" w:rsidP="00EE6ECC" w:rsidRDefault="00FA4E0E">
      <w:pPr>
        <w:rPr>
          <w:b/>
          <w:sz w:val="24"/>
          <w:szCs w:val="24"/>
        </w:rPr>
      </w:pPr>
      <w:r>
        <w:rPr>
          <w:b/>
          <w:sz w:val="24"/>
          <w:szCs w:val="24"/>
        </w:rPr>
        <w:t>Questions</w:t>
      </w:r>
    </w:p>
    <w:p w:rsidRPr="00FA4E0E" w:rsidR="00FA4E0E" w:rsidP="00EE6ECC" w:rsidRDefault="00FA4E0E">
      <w:pPr>
        <w:rPr>
          <w:sz w:val="24"/>
          <w:szCs w:val="24"/>
        </w:rPr>
      </w:pPr>
      <w:r>
        <w:rPr>
          <w:sz w:val="24"/>
          <w:szCs w:val="24"/>
        </w:rPr>
        <w:t xml:space="preserve">Questions on research patient visits should be addressed to Ade Adebiyi, Head of Research Nursing in the first instance - </w:t>
      </w:r>
      <w:hyperlink w:history="1" r:id="rId8">
        <w:r w:rsidRPr="00093285">
          <w:rPr>
            <w:rStyle w:val="Hyperlink"/>
            <w:sz w:val="24"/>
            <w:szCs w:val="24"/>
          </w:rPr>
          <w:t>aderonke.adebiyi@stgeorges.nhs.uk</w:t>
        </w:r>
      </w:hyperlink>
      <w:r>
        <w:rPr>
          <w:sz w:val="24"/>
          <w:szCs w:val="24"/>
        </w:rPr>
        <w:t xml:space="preserve"> </w:t>
      </w:r>
    </w:p>
    <w:p w:rsidR="00FA4E0E" w:rsidP="00EE6ECC" w:rsidRDefault="00FA4E0E">
      <w:pPr>
        <w:rPr>
          <w:b/>
          <w:sz w:val="24"/>
          <w:szCs w:val="24"/>
        </w:rPr>
      </w:pPr>
      <w:r>
        <w:rPr>
          <w:sz w:val="24"/>
          <w:szCs w:val="24"/>
        </w:rPr>
        <w:t xml:space="preserve">Questions on study categorisation should be address to Subhir Bedi, Head of Research Governance &amp; Delivery in the first instance - </w:t>
      </w:r>
      <w:hyperlink w:history="1" r:id="rId9">
        <w:r w:rsidRPr="00093285">
          <w:rPr>
            <w:rStyle w:val="Hyperlink"/>
            <w:sz w:val="24"/>
            <w:szCs w:val="24"/>
          </w:rPr>
          <w:t>sbedi@sgul.ac.uk</w:t>
        </w:r>
      </w:hyperlink>
    </w:p>
    <w:p w:rsidR="00FA4E0E" w:rsidP="00EE6ECC" w:rsidRDefault="00FA4E0E">
      <w:pPr>
        <w:rPr>
          <w:b/>
          <w:sz w:val="24"/>
          <w:szCs w:val="24"/>
        </w:rPr>
      </w:pPr>
    </w:p>
    <w:p w:rsidR="00FA4E0E" w:rsidP="00EE6ECC" w:rsidRDefault="00FA4E0E">
      <w:pPr>
        <w:rPr>
          <w:b/>
          <w:sz w:val="24"/>
          <w:szCs w:val="24"/>
        </w:rPr>
      </w:pPr>
    </w:p>
    <w:p w:rsidRPr="00FA4E0E" w:rsidR="00FA4E0E" w:rsidP="00EE6ECC" w:rsidRDefault="00FA4E0E">
      <w:pPr>
        <w:rPr>
          <w:sz w:val="24"/>
          <w:szCs w:val="24"/>
        </w:rPr>
      </w:pPr>
    </w:p>
    <w:sectPr w:rsidRPr="00FA4E0E" w:rsidR="00FA4E0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FA" w:rsidRDefault="001C66FA" w:rsidP="001C66FA">
      <w:pPr>
        <w:spacing w:after="0" w:line="240" w:lineRule="auto"/>
      </w:pPr>
      <w:r>
        <w:separator/>
      </w:r>
    </w:p>
  </w:endnote>
  <w:endnote w:type="continuationSeparator" w:id="0">
    <w:p w:rsidR="001C66FA" w:rsidRDefault="001C66FA" w:rsidP="001C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6FA" w:rsidRDefault="001C66FA">
    <w:pPr>
      <w:pStyle w:val="Footer"/>
    </w:pPr>
    <w:r>
      <w:t>Version 2 March 23rd 2020</w:t>
    </w:r>
  </w:p>
  <w:p w:rsidR="001C66FA" w:rsidRDefault="001C66FA">
    <w:pPr>
      <w:pStyle w:val="Footer"/>
    </w:pPr>
  </w:p>
  <w:p w:rsidR="001C66FA" w:rsidRDefault="001C6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FA" w:rsidRDefault="001C66FA" w:rsidP="001C66FA">
      <w:pPr>
        <w:spacing w:after="0" w:line="240" w:lineRule="auto"/>
      </w:pPr>
      <w:r>
        <w:separator/>
      </w:r>
    </w:p>
  </w:footnote>
  <w:footnote w:type="continuationSeparator" w:id="0">
    <w:p w:rsidR="001C66FA" w:rsidRDefault="001C66FA" w:rsidP="001C6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F3E88"/>
    <w:multiLevelType w:val="hybridMultilevel"/>
    <w:tmpl w:val="6C1E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F36665"/>
    <w:multiLevelType w:val="hybridMultilevel"/>
    <w:tmpl w:val="E152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DA"/>
    <w:rsid w:val="0003404E"/>
    <w:rsid w:val="00051778"/>
    <w:rsid w:val="00135742"/>
    <w:rsid w:val="001978DD"/>
    <w:rsid w:val="001C66FA"/>
    <w:rsid w:val="001F0205"/>
    <w:rsid w:val="00215365"/>
    <w:rsid w:val="002E6C60"/>
    <w:rsid w:val="00392B38"/>
    <w:rsid w:val="004D669A"/>
    <w:rsid w:val="005378D6"/>
    <w:rsid w:val="00560AE2"/>
    <w:rsid w:val="005C0AF9"/>
    <w:rsid w:val="00641603"/>
    <w:rsid w:val="00706CCD"/>
    <w:rsid w:val="00765E0C"/>
    <w:rsid w:val="007C263F"/>
    <w:rsid w:val="008529EB"/>
    <w:rsid w:val="00852A4B"/>
    <w:rsid w:val="00894D50"/>
    <w:rsid w:val="008E0C2B"/>
    <w:rsid w:val="009D6D29"/>
    <w:rsid w:val="00A45796"/>
    <w:rsid w:val="00A91CAA"/>
    <w:rsid w:val="00BA54E3"/>
    <w:rsid w:val="00BD5CBF"/>
    <w:rsid w:val="00CE6BD0"/>
    <w:rsid w:val="00D12613"/>
    <w:rsid w:val="00DB72EE"/>
    <w:rsid w:val="00E86C77"/>
    <w:rsid w:val="00EB78FD"/>
    <w:rsid w:val="00EE6ECC"/>
    <w:rsid w:val="00FA4E0E"/>
    <w:rsid w:val="00FE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CC"/>
    <w:pPr>
      <w:ind w:left="720"/>
      <w:contextualSpacing/>
    </w:pPr>
  </w:style>
  <w:style w:type="character" w:styleId="Hyperlink">
    <w:name w:val="Hyperlink"/>
    <w:basedOn w:val="DefaultParagraphFont"/>
    <w:uiPriority w:val="99"/>
    <w:unhideWhenUsed/>
    <w:rsid w:val="00FA4E0E"/>
    <w:rPr>
      <w:color w:val="0563C1" w:themeColor="hyperlink"/>
      <w:u w:val="single"/>
    </w:rPr>
  </w:style>
  <w:style w:type="character" w:customStyle="1" w:styleId="UnresolvedMention1">
    <w:name w:val="Unresolved Mention1"/>
    <w:basedOn w:val="DefaultParagraphFont"/>
    <w:uiPriority w:val="99"/>
    <w:semiHidden/>
    <w:unhideWhenUsed/>
    <w:rsid w:val="00FA4E0E"/>
    <w:rPr>
      <w:color w:val="605E5C"/>
      <w:shd w:val="clear" w:color="auto" w:fill="E1DFDD"/>
    </w:rPr>
  </w:style>
  <w:style w:type="table" w:styleId="TableGrid">
    <w:name w:val="Table Grid"/>
    <w:basedOn w:val="TableNormal"/>
    <w:uiPriority w:val="39"/>
    <w:rsid w:val="00FA4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8DD"/>
    <w:rPr>
      <w:rFonts w:ascii="Segoe UI" w:hAnsi="Segoe UI" w:cs="Segoe UI"/>
      <w:sz w:val="18"/>
      <w:szCs w:val="18"/>
    </w:rPr>
  </w:style>
  <w:style w:type="paragraph" w:styleId="Header">
    <w:name w:val="header"/>
    <w:basedOn w:val="Normal"/>
    <w:link w:val="HeaderChar"/>
    <w:uiPriority w:val="99"/>
    <w:unhideWhenUsed/>
    <w:rsid w:val="001C6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6FA"/>
  </w:style>
  <w:style w:type="paragraph" w:styleId="Footer">
    <w:name w:val="footer"/>
    <w:basedOn w:val="Normal"/>
    <w:link w:val="FooterChar"/>
    <w:uiPriority w:val="99"/>
    <w:unhideWhenUsed/>
    <w:rsid w:val="001C6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ECC"/>
    <w:pPr>
      <w:ind w:left="720"/>
      <w:contextualSpacing/>
    </w:pPr>
  </w:style>
  <w:style w:type="character" w:styleId="Hyperlink">
    <w:name w:val="Hyperlink"/>
    <w:basedOn w:val="DefaultParagraphFont"/>
    <w:uiPriority w:val="99"/>
    <w:unhideWhenUsed/>
    <w:rsid w:val="00FA4E0E"/>
    <w:rPr>
      <w:color w:val="0563C1" w:themeColor="hyperlink"/>
      <w:u w:val="single"/>
    </w:rPr>
  </w:style>
  <w:style w:type="character" w:customStyle="1" w:styleId="UnresolvedMention1">
    <w:name w:val="Unresolved Mention1"/>
    <w:basedOn w:val="DefaultParagraphFont"/>
    <w:uiPriority w:val="99"/>
    <w:semiHidden/>
    <w:unhideWhenUsed/>
    <w:rsid w:val="00FA4E0E"/>
    <w:rPr>
      <w:color w:val="605E5C"/>
      <w:shd w:val="clear" w:color="auto" w:fill="E1DFDD"/>
    </w:rPr>
  </w:style>
  <w:style w:type="table" w:styleId="TableGrid">
    <w:name w:val="Table Grid"/>
    <w:basedOn w:val="TableNormal"/>
    <w:uiPriority w:val="39"/>
    <w:rsid w:val="00FA4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8DD"/>
    <w:rPr>
      <w:rFonts w:ascii="Segoe UI" w:hAnsi="Segoe UI" w:cs="Segoe UI"/>
      <w:sz w:val="18"/>
      <w:szCs w:val="18"/>
    </w:rPr>
  </w:style>
  <w:style w:type="paragraph" w:styleId="Header">
    <w:name w:val="header"/>
    <w:basedOn w:val="Normal"/>
    <w:link w:val="HeaderChar"/>
    <w:uiPriority w:val="99"/>
    <w:unhideWhenUsed/>
    <w:rsid w:val="001C6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6FA"/>
  </w:style>
  <w:style w:type="paragraph" w:styleId="Footer">
    <w:name w:val="footer"/>
    <w:basedOn w:val="Normal"/>
    <w:link w:val="FooterChar"/>
    <w:uiPriority w:val="99"/>
    <w:unhideWhenUsed/>
    <w:rsid w:val="001C6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ronke.adebiyi@stgeorges.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bedi@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Cranmer</dc:creator>
  <cp:lastModifiedBy>Sebastian</cp:lastModifiedBy>
  <cp:revision>2</cp:revision>
  <cp:lastPrinted>2020-03-12T16:26:00Z</cp:lastPrinted>
  <dcterms:created xsi:type="dcterms:W3CDTF">2020-03-23T14:47:00Z</dcterms:created>
  <dcterms:modified xsi:type="dcterms:W3CDTF">2020-09-18T09:32:14Z</dcterms:modified>
  <dc:title>COVID-19 clincial research trials guidance</dc:title>
  <cp:keywords>
  </cp:keywords>
  <dc:subject>
  </dc:subject>
</cp:coreProperties>
</file>